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FF9F3" w14:textId="77777777" w:rsidR="00761BDE" w:rsidRPr="00436224" w:rsidRDefault="00F70A63" w:rsidP="00436224">
      <w:pPr>
        <w:jc w:val="center"/>
        <w:rPr>
          <w:rFonts w:ascii="Times New Roman" w:hAnsi="Times New Roman" w:cs="Times New Roman"/>
          <w:b/>
          <w:sz w:val="24"/>
          <w:szCs w:val="24"/>
        </w:rPr>
      </w:pPr>
      <w:r>
        <w:rPr>
          <w:rFonts w:ascii="Times New Roman" w:hAnsi="Times New Roman" w:cs="Times New Roman"/>
          <w:b/>
          <w:sz w:val="24"/>
          <w:szCs w:val="24"/>
        </w:rPr>
        <w:t xml:space="preserve">APLICABILIDADE DOS </w:t>
      </w:r>
      <w:r w:rsidR="00436224" w:rsidRPr="00436224">
        <w:rPr>
          <w:rFonts w:ascii="Times New Roman" w:hAnsi="Times New Roman" w:cs="Times New Roman"/>
          <w:b/>
          <w:sz w:val="24"/>
          <w:szCs w:val="24"/>
        </w:rPr>
        <w:t>INDICADORES DE SUSTENTABILIDADE SOCIAL ÀS CONSTRUÇÕES DE EDIFÍCIOS EM PERNAMBUCO</w:t>
      </w:r>
    </w:p>
    <w:p w14:paraId="52D4A5A2" w14:textId="77777777" w:rsidR="00436224" w:rsidRDefault="00436224" w:rsidP="00436224">
      <w:pPr>
        <w:spacing w:after="0"/>
        <w:jc w:val="center"/>
        <w:rPr>
          <w:rFonts w:ascii="Times New Roman" w:hAnsi="Times New Roman" w:cs="Times New Roman"/>
          <w:sz w:val="20"/>
          <w:szCs w:val="20"/>
          <w:vertAlign w:val="superscript"/>
        </w:rPr>
      </w:pPr>
      <w:r>
        <w:rPr>
          <w:rFonts w:ascii="Times New Roman" w:hAnsi="Times New Roman" w:cs="Times New Roman"/>
          <w:sz w:val="20"/>
          <w:szCs w:val="20"/>
        </w:rPr>
        <w:t>George da Mota Passos Neto</w:t>
      </w:r>
      <w:r w:rsidRPr="00436224">
        <w:rPr>
          <w:rFonts w:ascii="Times New Roman" w:hAnsi="Times New Roman" w:cs="Times New Roman"/>
          <w:sz w:val="20"/>
          <w:szCs w:val="20"/>
          <w:vertAlign w:val="superscript"/>
        </w:rPr>
        <w:t>1</w:t>
      </w:r>
      <w:r>
        <w:rPr>
          <w:rFonts w:ascii="Times New Roman" w:hAnsi="Times New Roman" w:cs="Times New Roman"/>
          <w:sz w:val="20"/>
          <w:szCs w:val="20"/>
        </w:rPr>
        <w:t>, Emilia Kohlman Rabbani</w:t>
      </w:r>
      <w:r w:rsidRPr="00436224">
        <w:rPr>
          <w:rFonts w:ascii="Times New Roman" w:hAnsi="Times New Roman" w:cs="Times New Roman"/>
          <w:sz w:val="20"/>
          <w:szCs w:val="20"/>
          <w:vertAlign w:val="superscript"/>
        </w:rPr>
        <w:t>2</w:t>
      </w:r>
      <w:r>
        <w:rPr>
          <w:rFonts w:ascii="Times New Roman" w:hAnsi="Times New Roman" w:cs="Times New Roman"/>
          <w:sz w:val="20"/>
          <w:szCs w:val="20"/>
        </w:rPr>
        <w:t xml:space="preserve"> e Rodolfo Valdes-Vasquez</w:t>
      </w:r>
      <w:r w:rsidRPr="00436224">
        <w:rPr>
          <w:rFonts w:ascii="Times New Roman" w:hAnsi="Times New Roman" w:cs="Times New Roman"/>
          <w:sz w:val="20"/>
          <w:szCs w:val="20"/>
          <w:vertAlign w:val="superscript"/>
        </w:rPr>
        <w:t>3</w:t>
      </w:r>
    </w:p>
    <w:p w14:paraId="42E32732" w14:textId="77777777" w:rsidR="00436224" w:rsidRDefault="00436224" w:rsidP="00436224">
      <w:pPr>
        <w:spacing w:after="0" w:line="240" w:lineRule="auto"/>
        <w:jc w:val="center"/>
        <w:rPr>
          <w:rFonts w:ascii="Times New Roman" w:hAnsi="Times New Roman" w:cs="Times New Roman"/>
          <w:i/>
          <w:sz w:val="20"/>
          <w:szCs w:val="20"/>
        </w:rPr>
      </w:pPr>
      <w:r w:rsidRPr="00436224">
        <w:rPr>
          <w:rFonts w:ascii="Times New Roman" w:hAnsi="Times New Roman" w:cs="Times New Roman"/>
          <w:sz w:val="20"/>
          <w:szCs w:val="20"/>
          <w:vertAlign w:val="superscript"/>
        </w:rPr>
        <w:t>1</w:t>
      </w:r>
      <w:r>
        <w:rPr>
          <w:rFonts w:ascii="Times New Roman" w:hAnsi="Times New Roman" w:cs="Times New Roman"/>
          <w:sz w:val="20"/>
          <w:szCs w:val="20"/>
          <w:vertAlign w:val="superscript"/>
        </w:rPr>
        <w:t>,2</w:t>
      </w:r>
      <w:r w:rsidRPr="00436224">
        <w:rPr>
          <w:rFonts w:ascii="Times New Roman" w:hAnsi="Times New Roman" w:cs="Times New Roman"/>
          <w:i/>
          <w:sz w:val="20"/>
          <w:szCs w:val="20"/>
        </w:rPr>
        <w:t>Universidade de Pernambuco</w:t>
      </w:r>
    </w:p>
    <w:p w14:paraId="1F637FDC" w14:textId="77777777" w:rsidR="00436224" w:rsidRDefault="00436224" w:rsidP="00436224">
      <w:pPr>
        <w:spacing w:after="0" w:line="240" w:lineRule="auto"/>
        <w:jc w:val="center"/>
        <w:rPr>
          <w:rFonts w:ascii="Times New Roman" w:hAnsi="Times New Roman" w:cs="Times New Roman"/>
          <w:i/>
          <w:sz w:val="20"/>
          <w:szCs w:val="20"/>
        </w:rPr>
      </w:pPr>
      <w:r w:rsidRPr="00436224">
        <w:rPr>
          <w:rFonts w:ascii="Times New Roman" w:hAnsi="Times New Roman" w:cs="Times New Roman"/>
          <w:i/>
          <w:sz w:val="20"/>
          <w:szCs w:val="20"/>
        </w:rPr>
        <w:t>georgepassos@gmail.com</w:t>
      </w:r>
    </w:p>
    <w:p w14:paraId="472CD477" w14:textId="77777777" w:rsidR="00436224" w:rsidRPr="0083391F" w:rsidRDefault="00436224" w:rsidP="00436224">
      <w:pPr>
        <w:spacing w:after="0"/>
        <w:jc w:val="center"/>
        <w:rPr>
          <w:rFonts w:ascii="Times New Roman" w:hAnsi="Times New Roman" w:cs="Times New Roman"/>
          <w:i/>
          <w:sz w:val="20"/>
          <w:szCs w:val="20"/>
          <w:lang w:val="en-US"/>
        </w:rPr>
      </w:pPr>
      <w:r w:rsidRPr="0083391F">
        <w:rPr>
          <w:rFonts w:ascii="Times New Roman" w:hAnsi="Times New Roman" w:cs="Times New Roman"/>
          <w:i/>
          <w:sz w:val="20"/>
          <w:szCs w:val="20"/>
          <w:lang w:val="en-US"/>
        </w:rPr>
        <w:t>emilia.rabbani@upe.br</w:t>
      </w:r>
    </w:p>
    <w:p w14:paraId="1DDFC641" w14:textId="77777777" w:rsidR="00436224" w:rsidRPr="0083391F" w:rsidRDefault="00436224" w:rsidP="00436224">
      <w:pPr>
        <w:spacing w:after="0"/>
        <w:jc w:val="center"/>
        <w:rPr>
          <w:rFonts w:ascii="Times New Roman" w:hAnsi="Times New Roman" w:cs="Times New Roman"/>
          <w:i/>
          <w:sz w:val="20"/>
          <w:szCs w:val="20"/>
          <w:lang w:val="en-US"/>
        </w:rPr>
      </w:pPr>
      <w:r w:rsidRPr="0083391F">
        <w:rPr>
          <w:rFonts w:ascii="Times New Roman" w:hAnsi="Times New Roman" w:cs="Times New Roman"/>
          <w:sz w:val="20"/>
          <w:szCs w:val="20"/>
          <w:vertAlign w:val="superscript"/>
          <w:lang w:val="en-US"/>
        </w:rPr>
        <w:t>3</w:t>
      </w:r>
      <w:r w:rsidRPr="0083391F">
        <w:rPr>
          <w:rFonts w:ascii="Times New Roman" w:hAnsi="Times New Roman" w:cs="Times New Roman"/>
          <w:i/>
          <w:sz w:val="20"/>
          <w:szCs w:val="20"/>
          <w:lang w:val="en-US"/>
        </w:rPr>
        <w:t>Colorado State University</w:t>
      </w:r>
    </w:p>
    <w:p w14:paraId="2CC56A1B" w14:textId="77777777" w:rsidR="00436224" w:rsidRPr="0083391F" w:rsidRDefault="00436224" w:rsidP="00436224">
      <w:pPr>
        <w:spacing w:after="0"/>
        <w:jc w:val="center"/>
        <w:rPr>
          <w:rFonts w:ascii="Times New Roman" w:hAnsi="Times New Roman" w:cs="Times New Roman"/>
          <w:i/>
          <w:sz w:val="20"/>
          <w:szCs w:val="20"/>
          <w:vertAlign w:val="superscript"/>
          <w:lang w:val="en-US"/>
        </w:rPr>
      </w:pPr>
      <w:r w:rsidRPr="0083391F">
        <w:rPr>
          <w:rFonts w:ascii="Times New Roman" w:hAnsi="Times New Roman" w:cs="Times New Roman"/>
          <w:i/>
          <w:sz w:val="20"/>
          <w:szCs w:val="20"/>
          <w:lang w:val="en-US"/>
        </w:rPr>
        <w:t>rodolfo.valdes_vasquez@colostate.edu</w:t>
      </w:r>
    </w:p>
    <w:p w14:paraId="2C845405" w14:textId="77777777" w:rsidR="00C019D8" w:rsidRDefault="00C019D8" w:rsidP="0083391F">
      <w:pPr>
        <w:rPr>
          <w:rFonts w:ascii="Times New Roman" w:hAnsi="Times New Roman" w:cs="Times New Roman"/>
          <w:b/>
          <w:sz w:val="24"/>
          <w:szCs w:val="24"/>
          <w:lang w:val="en-US"/>
        </w:rPr>
      </w:pPr>
    </w:p>
    <w:p w14:paraId="6B97FEDC" w14:textId="77777777" w:rsidR="0083391F" w:rsidRDefault="0083391F" w:rsidP="0083391F">
      <w:pPr>
        <w:rPr>
          <w:rFonts w:ascii="Times New Roman" w:hAnsi="Times New Roman" w:cs="Times New Roman"/>
          <w:b/>
          <w:sz w:val="24"/>
          <w:szCs w:val="24"/>
          <w:lang w:val="en-US"/>
        </w:rPr>
      </w:pPr>
      <w:r w:rsidRPr="0083391F">
        <w:rPr>
          <w:rFonts w:ascii="Times New Roman" w:hAnsi="Times New Roman" w:cs="Times New Roman"/>
          <w:b/>
          <w:sz w:val="24"/>
          <w:szCs w:val="24"/>
          <w:lang w:val="en-US"/>
        </w:rPr>
        <w:t>RESUMO</w:t>
      </w:r>
    </w:p>
    <w:p w14:paraId="41191CDB" w14:textId="77777777" w:rsidR="009A7466" w:rsidRDefault="009A7466" w:rsidP="002B71D2">
      <w:pPr>
        <w:spacing w:line="240" w:lineRule="auto"/>
        <w:rPr>
          <w:rFonts w:ascii="Times New Roman" w:hAnsi="Times New Roman" w:cs="Times New Roman"/>
          <w:sz w:val="24"/>
          <w:szCs w:val="24"/>
        </w:rPr>
      </w:pPr>
      <w:r w:rsidRPr="009A7466">
        <w:rPr>
          <w:rFonts w:ascii="Times New Roman" w:hAnsi="Times New Roman" w:cs="Times New Roman"/>
          <w:sz w:val="24"/>
          <w:szCs w:val="24"/>
        </w:rPr>
        <w:t>Este trabalho tem como objetivo geral identificar indica</w:t>
      </w:r>
      <w:r w:rsidR="002B71D2">
        <w:rPr>
          <w:rFonts w:ascii="Times New Roman" w:hAnsi="Times New Roman" w:cs="Times New Roman"/>
          <w:sz w:val="24"/>
          <w:szCs w:val="24"/>
        </w:rPr>
        <w:t>dores de sustentabilidade social</w:t>
      </w:r>
      <w:r w:rsidRPr="009A7466">
        <w:rPr>
          <w:rFonts w:ascii="Times New Roman" w:hAnsi="Times New Roman" w:cs="Times New Roman"/>
          <w:sz w:val="24"/>
          <w:szCs w:val="24"/>
        </w:rPr>
        <w:t xml:space="preserve"> aplicáveis em construtoras de edificações de grande e médio porte na Regiã</w:t>
      </w:r>
      <w:r w:rsidR="002B71D2">
        <w:rPr>
          <w:rFonts w:ascii="Times New Roman" w:hAnsi="Times New Roman" w:cs="Times New Roman"/>
          <w:sz w:val="24"/>
          <w:szCs w:val="24"/>
        </w:rPr>
        <w:t>o Metropolitana do Recife</w:t>
      </w:r>
      <w:r w:rsidRPr="009A7466">
        <w:rPr>
          <w:rFonts w:ascii="Times New Roman" w:hAnsi="Times New Roman" w:cs="Times New Roman"/>
          <w:sz w:val="24"/>
          <w:szCs w:val="24"/>
        </w:rPr>
        <w:t>. Esta pesqu</w:t>
      </w:r>
      <w:r w:rsidR="001E61DD">
        <w:rPr>
          <w:rFonts w:ascii="Times New Roman" w:hAnsi="Times New Roman" w:cs="Times New Roman"/>
          <w:sz w:val="24"/>
          <w:szCs w:val="24"/>
        </w:rPr>
        <w:t>isa possui caráter exploratório</w:t>
      </w:r>
      <w:r w:rsidRPr="009A7466">
        <w:rPr>
          <w:rFonts w:ascii="Times New Roman" w:hAnsi="Times New Roman" w:cs="Times New Roman"/>
          <w:sz w:val="24"/>
          <w:szCs w:val="24"/>
        </w:rPr>
        <w:t xml:space="preserve"> e seus resultados </w:t>
      </w:r>
      <w:r>
        <w:rPr>
          <w:rFonts w:ascii="Times New Roman" w:hAnsi="Times New Roman" w:cs="Times New Roman"/>
          <w:sz w:val="24"/>
          <w:szCs w:val="24"/>
        </w:rPr>
        <w:t>foram</w:t>
      </w:r>
      <w:r w:rsidRPr="009A7466">
        <w:rPr>
          <w:rFonts w:ascii="Times New Roman" w:hAnsi="Times New Roman" w:cs="Times New Roman"/>
          <w:sz w:val="24"/>
          <w:szCs w:val="24"/>
        </w:rPr>
        <w:t xml:space="preserve"> obtidos por levantamento de dados, através de entrevistas semiestruturadas. </w:t>
      </w:r>
      <w:r w:rsidR="002B71D2">
        <w:rPr>
          <w:rFonts w:ascii="Times New Roman" w:hAnsi="Times New Roman" w:cs="Times New Roman"/>
          <w:sz w:val="24"/>
          <w:szCs w:val="24"/>
        </w:rPr>
        <w:t>Dessas entrevistas</w:t>
      </w:r>
      <w:r w:rsidRPr="009A7466">
        <w:rPr>
          <w:rFonts w:ascii="Times New Roman" w:hAnsi="Times New Roman" w:cs="Times New Roman"/>
          <w:sz w:val="24"/>
          <w:szCs w:val="24"/>
        </w:rPr>
        <w:t xml:space="preserve"> detectou-se uma conscientização em relação ao nível de importância dos indicadores sociais selecionados, no entanto, de uma maneira geral, eles ainda não são influentes nas tomadas de decisões da</w:t>
      </w:r>
      <w:r w:rsidR="001E61DD">
        <w:rPr>
          <w:rFonts w:ascii="Times New Roman" w:hAnsi="Times New Roman" w:cs="Times New Roman"/>
          <w:sz w:val="24"/>
          <w:szCs w:val="24"/>
        </w:rPr>
        <w:t>s</w:t>
      </w:r>
      <w:r w:rsidRPr="009A7466">
        <w:rPr>
          <w:rFonts w:ascii="Times New Roman" w:hAnsi="Times New Roman" w:cs="Times New Roman"/>
          <w:sz w:val="24"/>
          <w:szCs w:val="24"/>
        </w:rPr>
        <w:t xml:space="preserve"> empresa</w:t>
      </w:r>
      <w:r w:rsidR="001E61DD">
        <w:rPr>
          <w:rFonts w:ascii="Times New Roman" w:hAnsi="Times New Roman" w:cs="Times New Roman"/>
          <w:sz w:val="24"/>
          <w:szCs w:val="24"/>
        </w:rPr>
        <w:t>s</w:t>
      </w:r>
      <w:r w:rsidRPr="009A7466">
        <w:rPr>
          <w:rFonts w:ascii="Times New Roman" w:hAnsi="Times New Roman" w:cs="Times New Roman"/>
          <w:sz w:val="24"/>
          <w:szCs w:val="24"/>
        </w:rPr>
        <w:t xml:space="preserve"> na mesma proporção de seus níveis de imp</w:t>
      </w:r>
      <w:r w:rsidR="00C019D8">
        <w:rPr>
          <w:rFonts w:ascii="Times New Roman" w:hAnsi="Times New Roman" w:cs="Times New Roman"/>
          <w:sz w:val="24"/>
          <w:szCs w:val="24"/>
        </w:rPr>
        <w:t>ortância</w:t>
      </w:r>
      <w:r w:rsidR="001E61DD">
        <w:rPr>
          <w:rFonts w:ascii="Times New Roman" w:hAnsi="Times New Roman" w:cs="Times New Roman"/>
          <w:sz w:val="24"/>
          <w:szCs w:val="24"/>
        </w:rPr>
        <w:t>. Destacaram-se</w:t>
      </w:r>
      <w:r w:rsidRPr="009A7466">
        <w:rPr>
          <w:rFonts w:ascii="Times New Roman" w:hAnsi="Times New Roman" w:cs="Times New Roman"/>
          <w:sz w:val="24"/>
          <w:szCs w:val="24"/>
        </w:rPr>
        <w:t xml:space="preserve"> os indicadores relativos à não discriminação e ao uso de trabalho infantil </w:t>
      </w:r>
      <w:r w:rsidR="002B71D2">
        <w:rPr>
          <w:rFonts w:ascii="Times New Roman" w:hAnsi="Times New Roman" w:cs="Times New Roman"/>
          <w:sz w:val="24"/>
          <w:szCs w:val="24"/>
        </w:rPr>
        <w:t>ou forçado</w:t>
      </w:r>
      <w:r w:rsidRPr="009A7466">
        <w:rPr>
          <w:rFonts w:ascii="Times New Roman" w:hAnsi="Times New Roman" w:cs="Times New Roman"/>
          <w:sz w:val="24"/>
          <w:szCs w:val="24"/>
        </w:rPr>
        <w:t xml:space="preserve">, que apesar da importância reconhecida, são poucos influentes nas decisões, </w:t>
      </w:r>
      <w:r w:rsidR="002B71D2">
        <w:rPr>
          <w:rFonts w:ascii="Times New Roman" w:hAnsi="Times New Roman" w:cs="Times New Roman"/>
          <w:sz w:val="24"/>
          <w:szCs w:val="24"/>
        </w:rPr>
        <w:t>no entanto</w:t>
      </w:r>
      <w:r w:rsidRPr="009A7466">
        <w:rPr>
          <w:rFonts w:ascii="Times New Roman" w:hAnsi="Times New Roman" w:cs="Times New Roman"/>
          <w:sz w:val="24"/>
          <w:szCs w:val="24"/>
        </w:rPr>
        <w:t xml:space="preserve"> </w:t>
      </w:r>
      <w:r w:rsidR="002B71D2">
        <w:rPr>
          <w:rFonts w:ascii="Times New Roman" w:hAnsi="Times New Roman" w:cs="Times New Roman"/>
          <w:sz w:val="24"/>
          <w:szCs w:val="24"/>
        </w:rPr>
        <w:t>são considerados de fácil</w:t>
      </w:r>
      <w:r w:rsidRPr="009A7466">
        <w:rPr>
          <w:rFonts w:ascii="Times New Roman" w:hAnsi="Times New Roman" w:cs="Times New Roman"/>
          <w:sz w:val="24"/>
          <w:szCs w:val="24"/>
        </w:rPr>
        <w:t xml:space="preserve"> obtenção. Sendo assim, </w:t>
      </w:r>
      <w:r w:rsidR="00C019D8">
        <w:rPr>
          <w:rFonts w:ascii="Times New Roman" w:hAnsi="Times New Roman" w:cs="Times New Roman"/>
          <w:sz w:val="24"/>
          <w:szCs w:val="24"/>
        </w:rPr>
        <w:t>esta pesquisa disponibiliza indicadores aplicáveis à realidade local</w:t>
      </w:r>
      <w:r w:rsidRPr="009A7466">
        <w:rPr>
          <w:rFonts w:ascii="Times New Roman" w:hAnsi="Times New Roman" w:cs="Times New Roman"/>
          <w:sz w:val="24"/>
          <w:szCs w:val="24"/>
        </w:rPr>
        <w:t xml:space="preserve">, </w:t>
      </w:r>
      <w:r w:rsidR="001E61DD">
        <w:rPr>
          <w:rFonts w:ascii="Times New Roman" w:hAnsi="Times New Roman" w:cs="Times New Roman"/>
          <w:sz w:val="24"/>
          <w:szCs w:val="24"/>
        </w:rPr>
        <w:t>facilitando tomadas de decisões</w:t>
      </w:r>
      <w:r w:rsidRPr="009A7466">
        <w:rPr>
          <w:rFonts w:ascii="Times New Roman" w:hAnsi="Times New Roman" w:cs="Times New Roman"/>
          <w:sz w:val="24"/>
          <w:szCs w:val="24"/>
        </w:rPr>
        <w:t xml:space="preserve"> comprometidas com o aspecto social da sustentabilidade.</w:t>
      </w:r>
    </w:p>
    <w:p w14:paraId="7B74DCCA" w14:textId="77777777" w:rsidR="00C019D8" w:rsidRPr="009A7466" w:rsidRDefault="00C019D8" w:rsidP="002B71D2">
      <w:pPr>
        <w:spacing w:line="240" w:lineRule="auto"/>
        <w:rPr>
          <w:rFonts w:ascii="Times New Roman" w:hAnsi="Times New Roman" w:cs="Times New Roman"/>
          <w:sz w:val="24"/>
          <w:szCs w:val="24"/>
        </w:rPr>
      </w:pPr>
    </w:p>
    <w:p w14:paraId="4D472C6A" w14:textId="77777777" w:rsidR="0083391F" w:rsidRPr="001E61DD" w:rsidRDefault="0083391F" w:rsidP="00C019D8">
      <w:pPr>
        <w:spacing w:line="240" w:lineRule="auto"/>
        <w:rPr>
          <w:rFonts w:ascii="Times New Roman" w:hAnsi="Times New Roman" w:cs="Times New Roman"/>
          <w:b/>
          <w:sz w:val="24"/>
          <w:szCs w:val="24"/>
          <w:lang w:val="en-US"/>
        </w:rPr>
      </w:pPr>
      <w:r>
        <w:rPr>
          <w:rFonts w:ascii="Times New Roman" w:hAnsi="Times New Roman" w:cs="Times New Roman"/>
          <w:b/>
          <w:sz w:val="24"/>
          <w:szCs w:val="24"/>
        </w:rPr>
        <w:t>PALAVRAS-CHAVE:</w:t>
      </w:r>
      <w:r w:rsidR="00C019D8">
        <w:rPr>
          <w:rFonts w:ascii="Times New Roman" w:hAnsi="Times New Roman" w:cs="Times New Roman"/>
          <w:b/>
          <w:sz w:val="24"/>
          <w:szCs w:val="24"/>
        </w:rPr>
        <w:t xml:space="preserve"> </w:t>
      </w:r>
      <w:r w:rsidR="00C019D8" w:rsidRPr="00C019D8">
        <w:rPr>
          <w:rFonts w:ascii="Times New Roman" w:hAnsi="Times New Roman" w:cs="Times New Roman"/>
          <w:sz w:val="24"/>
          <w:szCs w:val="24"/>
        </w:rPr>
        <w:t xml:space="preserve">Sustentabilidade social. Indicadores de sustentabilidade. </w:t>
      </w:r>
      <w:r w:rsidR="00C019D8" w:rsidRPr="001E61DD">
        <w:rPr>
          <w:rFonts w:ascii="Times New Roman" w:hAnsi="Times New Roman" w:cs="Times New Roman"/>
          <w:sz w:val="24"/>
          <w:szCs w:val="24"/>
          <w:lang w:val="en-US"/>
        </w:rPr>
        <w:t>Construção Civil. Edificações.</w:t>
      </w:r>
    </w:p>
    <w:p w14:paraId="3E7FC23D" w14:textId="77777777" w:rsidR="00C019D8" w:rsidRPr="001E61DD" w:rsidRDefault="00C019D8" w:rsidP="0083391F">
      <w:pPr>
        <w:rPr>
          <w:rFonts w:ascii="Times New Roman" w:hAnsi="Times New Roman" w:cs="Times New Roman"/>
          <w:b/>
          <w:sz w:val="24"/>
          <w:szCs w:val="24"/>
          <w:lang w:val="en-US"/>
        </w:rPr>
      </w:pPr>
    </w:p>
    <w:p w14:paraId="464B6EEF" w14:textId="77777777" w:rsidR="0083391F" w:rsidRPr="00C019D8" w:rsidRDefault="0083391F" w:rsidP="0083391F">
      <w:pPr>
        <w:rPr>
          <w:rFonts w:ascii="Times New Roman" w:hAnsi="Times New Roman" w:cs="Times New Roman"/>
          <w:b/>
          <w:sz w:val="24"/>
          <w:szCs w:val="24"/>
          <w:lang w:val="en-US"/>
        </w:rPr>
      </w:pPr>
      <w:r w:rsidRPr="00C019D8">
        <w:rPr>
          <w:rFonts w:ascii="Times New Roman" w:hAnsi="Times New Roman" w:cs="Times New Roman"/>
          <w:b/>
          <w:sz w:val="24"/>
          <w:szCs w:val="24"/>
          <w:lang w:val="en-US"/>
        </w:rPr>
        <w:t>ABSTRACT</w:t>
      </w:r>
    </w:p>
    <w:p w14:paraId="56EB9952" w14:textId="77777777" w:rsidR="00C019D8" w:rsidRDefault="00C019D8" w:rsidP="00C019D8">
      <w:pPr>
        <w:spacing w:line="240" w:lineRule="auto"/>
        <w:rPr>
          <w:rFonts w:ascii="Times New Roman" w:hAnsi="Times New Roman" w:cs="Times New Roman"/>
          <w:sz w:val="24"/>
          <w:szCs w:val="24"/>
          <w:lang w:val="en-US"/>
        </w:rPr>
      </w:pPr>
      <w:r w:rsidRPr="001E61DD">
        <w:rPr>
          <w:rFonts w:ascii="Times New Roman" w:hAnsi="Times New Roman" w:cs="Times New Roman"/>
          <w:sz w:val="24"/>
          <w:szCs w:val="24"/>
          <w:lang w:val="en-US"/>
        </w:rPr>
        <w:t xml:space="preserve">The objective of this work is to identify social sustainability indicators applicable to large and medium-sized construction companies in the metropolitan region of Recife. This research has exploratory character, and its results were obtained by data collection, through semi-structured interviews. From these interviews, an awareness of the level of importance of the selected social indicators was detected, however, in general, they are not yet influential in the company's decision making in the same proportion of their importance levels. Also noteworthy are the indicators related to non-discrimination and the use of child or forced labor, which, despite their acknowledged importance, have little </w:t>
      </w:r>
      <w:r w:rsidRPr="00C019D8">
        <w:rPr>
          <w:rFonts w:ascii="Times New Roman" w:hAnsi="Times New Roman" w:cs="Times New Roman"/>
          <w:sz w:val="24"/>
          <w:szCs w:val="24"/>
          <w:lang w:val="en-US"/>
        </w:rPr>
        <w:t>influence on decisions, but are considered easily obtainable. Thus, this research provides indicators applicable to the local reality, making companies more committed to the social aspect of sustainability.</w:t>
      </w:r>
    </w:p>
    <w:p w14:paraId="2765B81B" w14:textId="77777777" w:rsidR="00C019D8" w:rsidRPr="001E61DD" w:rsidRDefault="00C019D8" w:rsidP="00C019D8">
      <w:pPr>
        <w:spacing w:line="240" w:lineRule="auto"/>
        <w:rPr>
          <w:rFonts w:ascii="Times New Roman" w:hAnsi="Times New Roman" w:cs="Times New Roman"/>
          <w:sz w:val="24"/>
          <w:szCs w:val="24"/>
          <w:lang w:val="en-US"/>
        </w:rPr>
      </w:pPr>
    </w:p>
    <w:p w14:paraId="0454AB12" w14:textId="77777777" w:rsidR="0083391F" w:rsidRPr="004F1878" w:rsidRDefault="0083391F" w:rsidP="00C019D8">
      <w:pPr>
        <w:spacing w:line="240" w:lineRule="auto"/>
        <w:rPr>
          <w:rFonts w:ascii="Times New Roman" w:hAnsi="Times New Roman" w:cs="Times New Roman"/>
          <w:b/>
          <w:sz w:val="24"/>
          <w:szCs w:val="24"/>
        </w:rPr>
      </w:pPr>
      <w:r w:rsidRPr="00C019D8">
        <w:rPr>
          <w:rFonts w:ascii="Times New Roman" w:hAnsi="Times New Roman" w:cs="Times New Roman"/>
          <w:b/>
          <w:sz w:val="24"/>
          <w:szCs w:val="24"/>
          <w:lang w:val="en-US"/>
        </w:rPr>
        <w:t>KEYWORDS</w:t>
      </w:r>
      <w:r w:rsidR="00C019D8">
        <w:rPr>
          <w:rFonts w:ascii="Times New Roman" w:hAnsi="Times New Roman" w:cs="Times New Roman"/>
          <w:b/>
          <w:sz w:val="24"/>
          <w:szCs w:val="24"/>
          <w:lang w:val="en-US"/>
        </w:rPr>
        <w:t xml:space="preserve">: </w:t>
      </w:r>
      <w:r w:rsidR="00C019D8" w:rsidRPr="001E61DD">
        <w:rPr>
          <w:rFonts w:ascii="Times New Roman" w:hAnsi="Times New Roman" w:cs="Times New Roman"/>
          <w:sz w:val="24"/>
          <w:szCs w:val="24"/>
          <w:lang w:val="en-US"/>
        </w:rPr>
        <w:t xml:space="preserve">Social sustainability. Sustainability indicators. </w:t>
      </w:r>
      <w:r w:rsidR="00C019D8" w:rsidRPr="00C019D8">
        <w:rPr>
          <w:rFonts w:ascii="Times New Roman" w:hAnsi="Times New Roman" w:cs="Times New Roman"/>
          <w:sz w:val="24"/>
          <w:szCs w:val="24"/>
        </w:rPr>
        <w:t>Construction. Buildings.</w:t>
      </w:r>
    </w:p>
    <w:p w14:paraId="3F337B0D" w14:textId="77777777" w:rsidR="00436224" w:rsidRDefault="00436224" w:rsidP="00436224">
      <w:pPr>
        <w:rPr>
          <w:rFonts w:ascii="Times New Roman" w:hAnsi="Times New Roman" w:cs="Times New Roman"/>
          <w:b/>
          <w:sz w:val="24"/>
          <w:szCs w:val="24"/>
        </w:rPr>
      </w:pPr>
      <w:r>
        <w:rPr>
          <w:rFonts w:ascii="Times New Roman" w:hAnsi="Times New Roman" w:cs="Times New Roman"/>
          <w:b/>
          <w:sz w:val="24"/>
          <w:szCs w:val="24"/>
        </w:rPr>
        <w:lastRenderedPageBreak/>
        <w:t>INTRODUÇÃO</w:t>
      </w:r>
    </w:p>
    <w:p w14:paraId="35046D54" w14:textId="11EF0A2F" w:rsidR="00576930" w:rsidRDefault="00576930" w:rsidP="001E61DD">
      <w:pPr>
        <w:rPr>
          <w:rFonts w:ascii="Times New Roman" w:hAnsi="Times New Roman" w:cs="Times New Roman"/>
          <w:sz w:val="24"/>
          <w:szCs w:val="24"/>
        </w:rPr>
      </w:pPr>
      <w:r w:rsidRPr="004F1878">
        <w:rPr>
          <w:rFonts w:ascii="Times New Roman" w:hAnsi="Times New Roman" w:cs="Times New Roman"/>
          <w:sz w:val="24"/>
          <w:szCs w:val="24"/>
        </w:rPr>
        <w:t xml:space="preserve">A indústria da construção civil é uma das muitas que devem utilizar práticas de responsabilidade social. Ainda mais, é reconhecida como um dos principais e mais importantes setores industriais do mundo, representando dentre cinco e sete por cento do produto interno bruto na maioria dos países, justificando mais ainda a importância de considerar os fatores sociais nesse setor </w:t>
      </w:r>
      <w:r w:rsidR="005E03C0">
        <w:rPr>
          <w:rFonts w:ascii="Times New Roman" w:hAnsi="Times New Roman" w:cs="Times New Roman"/>
          <w:sz w:val="24"/>
          <w:szCs w:val="24"/>
        </w:rPr>
        <w:fldChar w:fldCharType="begin" w:fldLock="1"/>
      </w:r>
      <w:r w:rsidR="005E03C0">
        <w:rPr>
          <w:rFonts w:ascii="Times New Roman" w:hAnsi="Times New Roman" w:cs="Times New Roman"/>
          <w:sz w:val="24"/>
          <w:szCs w:val="24"/>
        </w:rPr>
        <w:instrText>ADDIN CSL_CITATION {"citationItems":[{"id":"ITEM-1","itemData":{"author":[{"dropping-particle":"","family":"Kenny","given":"Charles","non-dropping-particle":"","parse-names":false,"suffix":""}],"container-title":"World Bank Policy Research","id":"ITEM-1","issued":{"date-parts":[["2007"]]},"title":"Construction, Corruption, and Developing Countries","type":"article-journal","volume":"Working Pa"},"uris":["http://www.mendeley.com/documents/?uuid=a8776a4f-a568-412f-8e70-611375d9a84c"]}],"mendeley":{"formattedCitation":"(KENNY, 2007)","plainTextFormattedCitation":"(KENNY, 2007)","previouslyFormattedCitation":"(KENNY, 2007)"},"properties":{"noteIndex":0},"schema":"https://github.com/citation-style-language/schema/raw/master/csl-citation.json"}</w:instrText>
      </w:r>
      <w:r w:rsidR="005E03C0">
        <w:rPr>
          <w:rFonts w:ascii="Times New Roman" w:hAnsi="Times New Roman" w:cs="Times New Roman"/>
          <w:sz w:val="24"/>
          <w:szCs w:val="24"/>
        </w:rPr>
        <w:fldChar w:fldCharType="separate"/>
      </w:r>
      <w:r w:rsidR="005E03C0" w:rsidRPr="005E03C0">
        <w:rPr>
          <w:rFonts w:ascii="Times New Roman" w:hAnsi="Times New Roman" w:cs="Times New Roman"/>
          <w:noProof/>
          <w:sz w:val="24"/>
          <w:szCs w:val="24"/>
        </w:rPr>
        <w:t>(KENNY, 2007)</w:t>
      </w:r>
      <w:r w:rsidR="005E03C0">
        <w:rPr>
          <w:rFonts w:ascii="Times New Roman" w:hAnsi="Times New Roman" w:cs="Times New Roman"/>
          <w:sz w:val="24"/>
          <w:szCs w:val="24"/>
        </w:rPr>
        <w:fldChar w:fldCharType="end"/>
      </w:r>
      <w:r w:rsidRPr="004F1878">
        <w:rPr>
          <w:rFonts w:ascii="Times New Roman" w:hAnsi="Times New Roman" w:cs="Times New Roman"/>
          <w:sz w:val="24"/>
          <w:szCs w:val="24"/>
        </w:rPr>
        <w:t>.</w:t>
      </w:r>
    </w:p>
    <w:p w14:paraId="05E2ED8F" w14:textId="33C92F54" w:rsidR="001E61DD" w:rsidRDefault="001E61DD" w:rsidP="001E61DD">
      <w:pPr>
        <w:rPr>
          <w:rFonts w:ascii="Times New Roman" w:hAnsi="Times New Roman" w:cs="Times New Roman"/>
          <w:sz w:val="24"/>
          <w:szCs w:val="24"/>
        </w:rPr>
      </w:pPr>
      <w:r w:rsidRPr="001E61DD">
        <w:rPr>
          <w:rFonts w:ascii="Times New Roman" w:hAnsi="Times New Roman" w:cs="Times New Roman"/>
          <w:sz w:val="24"/>
          <w:szCs w:val="24"/>
        </w:rPr>
        <w:t xml:space="preserve">No entanto, a indústria da construção tende a ter uma reputação de baixa qualidade de serviço, e um histórico de quebra de promessas contratuais </w:t>
      </w:r>
      <w:r w:rsidR="005E03C0">
        <w:rPr>
          <w:rFonts w:ascii="Times New Roman" w:hAnsi="Times New Roman" w:cs="Times New Roman"/>
          <w:sz w:val="24"/>
          <w:szCs w:val="24"/>
        </w:rPr>
        <w:fldChar w:fldCharType="begin" w:fldLock="1"/>
      </w:r>
      <w:r w:rsidR="005E03C0">
        <w:rPr>
          <w:rFonts w:ascii="Times New Roman" w:hAnsi="Times New Roman" w:cs="Times New Roman"/>
          <w:sz w:val="24"/>
          <w:szCs w:val="24"/>
        </w:rPr>
        <w:instrText>ADDIN CSL_CITATION {"citationItems":[{"id":"ITEM-1","itemData":{"DOI":"10.1111/1467-8608.00254","ISSN":"0962-8770","abstract":"As inter-organisational relations represent an increasingly important element in business the ability to build sustainable relationships becomes a key skill. To achieve sustainable relationships parties need to move from a low trust/low ethics base to a high trust/high ethics base in their relating. This paper uses data from a study into trust-based partnering in the construction industry to demonstrate that ethics is integral to trust building. The data supports the proposition that ethical partnering, which is characterised by reliability, delivery of promises, open and honest communications, respect and reciprocity, and a willingness to act reasonably towards each other, is the most effective model for parties seeking to build sustainable relationships.","author":[{"dropping-particle":"","family":"Wood","given":"Graham","non-dropping-particle":"","parse-names":false,"suffix":""},{"dropping-particle":"","family":"McDermott","given":"Peter","non-dropping-particle":"","parse-names":false,"suffix":""},{"dropping-particle":"","family":"Swan","given":"Will","non-dropping-particle":"","parse-names":false,"suffix":""}],"container-title":"Business Ethics: A European Review","id":"ITEM-1","issue":"1","issued":{"date-parts":[["2002"]]},"page":"4-13","title":"The ethical benefits of trust</w:instrText>
      </w:r>
      <w:r w:rsidR="005E03C0">
        <w:rPr>
          <w:rFonts w:ascii="Cambria Math" w:hAnsi="Cambria Math" w:cs="Cambria Math"/>
          <w:sz w:val="24"/>
          <w:szCs w:val="24"/>
        </w:rPr>
        <w:instrText>‐</w:instrText>
      </w:r>
      <w:r w:rsidR="005E03C0">
        <w:rPr>
          <w:rFonts w:ascii="Times New Roman" w:hAnsi="Times New Roman" w:cs="Times New Roman"/>
          <w:sz w:val="24"/>
          <w:szCs w:val="24"/>
        </w:rPr>
        <w:instrText>based partnering: the example of the construction industry","type":"article-journal","volume":"11"},"uris":["http://www.mendeley.com/documents/?uuid=1a5db3d8-2fe3-41b4-865e-a7075963bc16"]}],"mendeley":{"formattedCitation":"(WOOD; MCDERMOTT; SWAN, 2002)","plainTextFormattedCitation":"(WOOD; MCDERMOTT; SWAN, 2002)","previouslyFormattedCitation":"(WOOD; MCDERMOTT; SWAN, 2002)"},"properties":{"noteIndex":0},"schema":"https://github.com/citation-style-language/schema/raw/master/csl-citation.json"}</w:instrText>
      </w:r>
      <w:r w:rsidR="005E03C0">
        <w:rPr>
          <w:rFonts w:ascii="Times New Roman" w:hAnsi="Times New Roman" w:cs="Times New Roman"/>
          <w:sz w:val="24"/>
          <w:szCs w:val="24"/>
        </w:rPr>
        <w:fldChar w:fldCharType="separate"/>
      </w:r>
      <w:r w:rsidR="005E03C0" w:rsidRPr="005E03C0">
        <w:rPr>
          <w:rFonts w:ascii="Times New Roman" w:hAnsi="Times New Roman" w:cs="Times New Roman"/>
          <w:noProof/>
          <w:sz w:val="24"/>
          <w:szCs w:val="24"/>
        </w:rPr>
        <w:t>(WOOD; MCDERMOTT; SWAN, 2002)</w:t>
      </w:r>
      <w:r w:rsidR="005E03C0">
        <w:rPr>
          <w:rFonts w:ascii="Times New Roman" w:hAnsi="Times New Roman" w:cs="Times New Roman"/>
          <w:sz w:val="24"/>
          <w:szCs w:val="24"/>
        </w:rPr>
        <w:fldChar w:fldCharType="end"/>
      </w:r>
      <w:r w:rsidRPr="001E61DD">
        <w:rPr>
          <w:rFonts w:ascii="Times New Roman" w:hAnsi="Times New Roman" w:cs="Times New Roman"/>
          <w:sz w:val="24"/>
          <w:szCs w:val="24"/>
        </w:rPr>
        <w:t>. Além disso, a construção civil é responsável por, aproximadamente, dezessete por cento de acidentes fatais ou, aproximadamente, 60.000 mortes por ano mundialmente (KENNY, 2007).</w:t>
      </w:r>
    </w:p>
    <w:p w14:paraId="6DC049B5" w14:textId="48CBCC99" w:rsidR="001E61DD" w:rsidRPr="001E61DD" w:rsidRDefault="001E61DD" w:rsidP="001E61DD">
      <w:pPr>
        <w:rPr>
          <w:rFonts w:ascii="Times New Roman" w:hAnsi="Times New Roman" w:cs="Times New Roman"/>
          <w:sz w:val="24"/>
          <w:szCs w:val="24"/>
        </w:rPr>
      </w:pPr>
      <w:r w:rsidRPr="001E61DD">
        <w:rPr>
          <w:rFonts w:ascii="Times New Roman" w:hAnsi="Times New Roman" w:cs="Times New Roman"/>
          <w:sz w:val="24"/>
          <w:szCs w:val="24"/>
        </w:rPr>
        <w:t xml:space="preserve">Na medida em que a indústria envolve processos de produção complexos e sem padronização que estimulam informações assimétricas entre clientes e fornecedores e em função das suas muitas ligações estreitas com o governo, não é surpresa que a construção seja frequentemente considerada como uma das indústrias mais corruptas mundialmente (KENNY, 2007). Juntamente com alguns outros setores que se caracterizam pelo trabalho intensivo, o setor da construção é associado com a sonegação de impostos e com problemas sociais </w:t>
      </w:r>
      <w:r w:rsidR="005E03C0">
        <w:rPr>
          <w:rFonts w:ascii="Times New Roman" w:hAnsi="Times New Roman" w:cs="Times New Roman"/>
          <w:sz w:val="24"/>
          <w:szCs w:val="24"/>
        </w:rPr>
        <w:fldChar w:fldCharType="begin" w:fldLock="1"/>
      </w:r>
      <w:r w:rsidR="005E03C0">
        <w:rPr>
          <w:rFonts w:ascii="Times New Roman" w:hAnsi="Times New Roman" w:cs="Times New Roman"/>
          <w:sz w:val="24"/>
          <w:szCs w:val="24"/>
        </w:rPr>
        <w:instrText>ADDIN CSL_CITATION {"citationItems":[{"id":"ITEM-1","itemData":{"DOI":"10.1111/j.1467-8608.2004.00359.x","ISSN":"0962-8770","abstract":"The construction sector in the Netherlands was at the center of publicity during 2002. After a television program by Zembla on November 9, 2001, exposing a clearing system for construction companies that colluded in price offers for public works, the Dutch parliament installed in 2002 an investigation committee to research these practices. This article presents a case study of how top and middle managers of Heijmans, one of the most profitable Dutch companies mentioned in the program, perceived the usefulness of introducing a code of conduct and the kind of code of conduct they would prefer. It describes the efforts of the company to upgrade its ethical features, highlighting the processes that take place when companies change their procedures in reaction to negative publicity. The content of this paper is as follows. In the second section, the perception of Heijmans managers of the ethical standards of their company with respect to the competition in the months before the TV program. The third section discusses the ethics of collusion and why it is seen as harmful. The fourth section discusses the importance of a good reputation as a strategic intangible asset and how ethical behavior impacts upon it. The fifth section deals with the usefulness of a written code of conduct for Heijmans as a means of improving the implementation of values and its reputation. In the sixth section we identify some lessons from this study.","author":[{"dropping-particle":"","family":"Graafland","given":"Johan J.","non-dropping-particle":"","parse-names":false,"suffix":""}],"container-title":"Business Ethics: A European Review","id":"ITEM-1","issue":"2-3","issued":{"date-parts":[["2004"]]},"page":"127-142","title":"Collusion, reputation damage and interest in codes of conduct: the case of a Dutch construction company","type":"article-journal","volume":"13"},"uris":["http://www.mendeley.com/documents/?uuid=63971b46-bb79-4ca7-8e22-d8a740b28a07"]}],"mendeley":{"formattedCitation":"(GRAAFLAND, 2004)","plainTextFormattedCitation":"(GRAAFLAND, 2004)","previouslyFormattedCitation":"(GRAAFLAND, 2004)"},"properties":{"noteIndex":0},"schema":"https://github.com/citation-style-language/schema/raw/master/csl-citation.json"}</w:instrText>
      </w:r>
      <w:r w:rsidR="005E03C0">
        <w:rPr>
          <w:rFonts w:ascii="Times New Roman" w:hAnsi="Times New Roman" w:cs="Times New Roman"/>
          <w:sz w:val="24"/>
          <w:szCs w:val="24"/>
        </w:rPr>
        <w:fldChar w:fldCharType="separate"/>
      </w:r>
      <w:r w:rsidR="005E03C0" w:rsidRPr="005E03C0">
        <w:rPr>
          <w:rFonts w:ascii="Times New Roman" w:hAnsi="Times New Roman" w:cs="Times New Roman"/>
          <w:noProof/>
          <w:sz w:val="24"/>
          <w:szCs w:val="24"/>
        </w:rPr>
        <w:t>(GRAAFLAND, 2004)</w:t>
      </w:r>
      <w:r w:rsidR="005E03C0">
        <w:rPr>
          <w:rFonts w:ascii="Times New Roman" w:hAnsi="Times New Roman" w:cs="Times New Roman"/>
          <w:sz w:val="24"/>
          <w:szCs w:val="24"/>
        </w:rPr>
        <w:fldChar w:fldCharType="end"/>
      </w:r>
      <w:r w:rsidRPr="001E61DD">
        <w:rPr>
          <w:rFonts w:ascii="Times New Roman" w:hAnsi="Times New Roman" w:cs="Times New Roman"/>
          <w:sz w:val="24"/>
          <w:szCs w:val="24"/>
        </w:rPr>
        <w:t>.</w:t>
      </w:r>
    </w:p>
    <w:p w14:paraId="04D89EE4" w14:textId="229C9C29" w:rsidR="004F3A42" w:rsidRPr="004F3A42" w:rsidRDefault="004F3A42" w:rsidP="004F3A42">
      <w:pPr>
        <w:rPr>
          <w:rFonts w:ascii="Times New Roman" w:hAnsi="Times New Roman" w:cs="Times New Roman"/>
          <w:sz w:val="24"/>
          <w:szCs w:val="24"/>
        </w:rPr>
      </w:pPr>
      <w:r>
        <w:rPr>
          <w:rFonts w:ascii="Times New Roman" w:hAnsi="Times New Roman" w:cs="Times New Roman"/>
          <w:sz w:val="24"/>
          <w:szCs w:val="24"/>
        </w:rPr>
        <w:t xml:space="preserve">Portanto, observa-se há a necessidade de adotar-se um novo modelo de desenvolvimento para uma indústria de tamanha importância. </w:t>
      </w:r>
      <w:r w:rsidRPr="004F3A42">
        <w:rPr>
          <w:rFonts w:ascii="Times New Roman" w:hAnsi="Times New Roman" w:cs="Times New Roman"/>
          <w:sz w:val="24"/>
          <w:szCs w:val="24"/>
        </w:rPr>
        <w:t xml:space="preserve">Apesar de ser um tema contemporâneo, desde 1969, já há 50 anos atrás, o termo “desenvolvimento sustentável” já era definido como desenvolvimento econômico para gerações atuais e futuras que não compromete os recursos do planeta nem os organismos biológicos </w:t>
      </w:r>
      <w:r w:rsidR="005E03C0">
        <w:rPr>
          <w:rFonts w:ascii="Times New Roman" w:hAnsi="Times New Roman" w:cs="Times New Roman"/>
          <w:sz w:val="24"/>
          <w:szCs w:val="24"/>
        </w:rPr>
        <w:fldChar w:fldCharType="begin" w:fldLock="1"/>
      </w:r>
      <w:r w:rsidR="005E03C0">
        <w:rPr>
          <w:rFonts w:ascii="Times New Roman" w:hAnsi="Times New Roman" w:cs="Times New Roman"/>
          <w:sz w:val="24"/>
          <w:szCs w:val="24"/>
        </w:rPr>
        <w:instrText>ADDIN CSL_CITATION {"citationItems":[{"id":"ITEM-1","itemData":{"abstract":"Purpose Sec. 2 [42 USC 4321]. The purposes of this Act are: To declare a national policy which will encourage productive and enjoyable harmony between man and his environment; to promote efforts which will prevent or eliminate damage to the environment and biosphere and stimulate the health and welfare of man; to enrich the understanding of the ecological systems and natural resources important to the Nation; and to establish a Council on Environmental Quality.","author":[{"dropping-particle":"","family":"US Congress","given":"","non-dropping-particle":"","parse-names":false,"suffix":""}],"container-title":"Bill","id":"ITEM-1","issued":{"date-parts":[["1969"]]},"page":"9","title":"National Environmental Policy Act of 1969 , as amended","type":"article-journal","volume":"4"},"uris":["http://www.mendeley.com/documents/?uuid=1cbf4186-555e-4f86-a5d9-3c4021eb4e4a"]}],"mendeley":{"formattedCitation":"(US CONGRESS, 1969)","plainTextFormattedCitation":"(US CONGRESS, 1969)","previouslyFormattedCitation":"(US CONGRESS, 1969)"},"properties":{"noteIndex":0},"schema":"https://github.com/citation-style-language/schema/raw/master/csl-citation.json"}</w:instrText>
      </w:r>
      <w:r w:rsidR="005E03C0">
        <w:rPr>
          <w:rFonts w:ascii="Times New Roman" w:hAnsi="Times New Roman" w:cs="Times New Roman"/>
          <w:sz w:val="24"/>
          <w:szCs w:val="24"/>
        </w:rPr>
        <w:fldChar w:fldCharType="separate"/>
      </w:r>
      <w:r w:rsidR="005E03C0" w:rsidRPr="005E03C0">
        <w:rPr>
          <w:rFonts w:ascii="Times New Roman" w:hAnsi="Times New Roman" w:cs="Times New Roman"/>
          <w:noProof/>
          <w:sz w:val="24"/>
          <w:szCs w:val="24"/>
        </w:rPr>
        <w:t>(US CONGRESS, 1969)</w:t>
      </w:r>
      <w:r w:rsidR="005E03C0">
        <w:rPr>
          <w:rFonts w:ascii="Times New Roman" w:hAnsi="Times New Roman" w:cs="Times New Roman"/>
          <w:sz w:val="24"/>
          <w:szCs w:val="24"/>
        </w:rPr>
        <w:fldChar w:fldCharType="end"/>
      </w:r>
      <w:r w:rsidRPr="004F3A42">
        <w:rPr>
          <w:rFonts w:ascii="Times New Roman" w:hAnsi="Times New Roman" w:cs="Times New Roman"/>
          <w:sz w:val="24"/>
          <w:szCs w:val="24"/>
        </w:rPr>
        <w:t>.</w:t>
      </w:r>
    </w:p>
    <w:p w14:paraId="0554474E" w14:textId="45FB3487" w:rsidR="004F3A42" w:rsidRPr="004F3A42" w:rsidRDefault="004F3A42" w:rsidP="004F3A42">
      <w:pPr>
        <w:rPr>
          <w:rFonts w:ascii="Times New Roman" w:hAnsi="Times New Roman" w:cs="Times New Roman"/>
          <w:sz w:val="24"/>
          <w:szCs w:val="24"/>
        </w:rPr>
      </w:pPr>
      <w:r w:rsidRPr="004F3A42">
        <w:rPr>
          <w:rFonts w:ascii="Times New Roman" w:hAnsi="Times New Roman" w:cs="Times New Roman"/>
          <w:sz w:val="24"/>
          <w:szCs w:val="24"/>
        </w:rPr>
        <w:t xml:space="preserve">Pouco depois, em 1987, o famoso relatório de Brundtland ampliou a abrangência do termo, transformando-o em um termo mais qualitativo, complexo, multidimensional e intangível </w:t>
      </w:r>
      <w:r w:rsidR="005E03C0">
        <w:rPr>
          <w:rFonts w:ascii="Times New Roman" w:hAnsi="Times New Roman" w:cs="Times New Roman"/>
          <w:sz w:val="24"/>
          <w:szCs w:val="24"/>
        </w:rPr>
        <w:fldChar w:fldCharType="begin" w:fldLock="1"/>
      </w:r>
      <w:r w:rsidR="005E03C0">
        <w:rPr>
          <w:rFonts w:ascii="Times New Roman" w:hAnsi="Times New Roman" w:cs="Times New Roman"/>
          <w:sz w:val="24"/>
          <w:szCs w:val="24"/>
        </w:rPr>
        <w:instrText>ADDIN CSL_CITATION {"citationItems":[{"id":"ITEM-1","itemData":{"DOI":"10.1061/(asce)co.1943-7862.0001099","ISSN":"0733-9364","abstract":"© 2015 American Society of Civil Engineers. To enhance concern for the social aspects of sustainability and to delineate the criteria to be considered at each stage of the lifecycle of an infrastructure, this paper aims to determine the relevance of a set of criteria that evaluate social sustainability throughout the lifecycle of a public civil infrastructure. This research presents the results of a case study applying the Delphi method to 24 Chilean experts consulted in a series of three rounds. In addition, binomial statistical tests and Kendall's coefficient were used to show the convergence of the experts. Thus, it was identified that of 36 initial criteria assessed at each stage of the lifecycle, the consideration of 20 is required at the design stage, 29 at the construction stage, 33 during operation, and 27 at demolition. T he most relevant criteria, per lifecycle stage, were Stakeholder Participation (design and demolition stages), External Local Population (design stage), Internal Human Resources (construction and demolition stages), Macro-Social Action of Socioenvironmental Activities (construction stage), and Macro-Social Action of Socioeconomic Activities (operation stage).","author":[{"dropping-particle":"","family":"Sierra","given":"Leonardo A.","non-dropping-particle":"","parse-names":false,"suffix":""},{"dropping-particle":"","family":"Pellicer","given":"Eugenio","non-dropping-particle":"","parse-names":false,"suffix":""},{"dropping-particle":"","family":"Yepes","given":"Víctor","non-dropping-particle":"","parse-names":false,"suffix":""}],"container-title":"Journal of Construction Engineering and Management","id":"ITEM-1","issue":"5","issued":{"date-parts":[["2015"]]},"page":"05015020","title":"Social Sustainability in the Lifecycle of Chilean Public Infrastructure","type":"article-journal","volume":"142"},"uris":["http://www.mendeley.com/documents/?uuid=fbbd4739-860b-4b49-8d89-d03174329137"]}],"mendeley":{"formattedCitation":"(SIERRA; PELLICER; YEPES, 2015)","plainTextFormattedCitation":"(SIERRA; PELLICER; YEPES, 2015)","previouslyFormattedCitation":"(SIERRA; PELLICER; YEPES, 2015)"},"properties":{"noteIndex":0},"schema":"https://github.com/citation-style-language/schema/raw/master/csl-citation.json"}</w:instrText>
      </w:r>
      <w:r w:rsidR="005E03C0">
        <w:rPr>
          <w:rFonts w:ascii="Times New Roman" w:hAnsi="Times New Roman" w:cs="Times New Roman"/>
          <w:sz w:val="24"/>
          <w:szCs w:val="24"/>
        </w:rPr>
        <w:fldChar w:fldCharType="separate"/>
      </w:r>
      <w:r w:rsidR="005E03C0" w:rsidRPr="005E03C0">
        <w:rPr>
          <w:rFonts w:ascii="Times New Roman" w:hAnsi="Times New Roman" w:cs="Times New Roman"/>
          <w:noProof/>
          <w:sz w:val="24"/>
          <w:szCs w:val="24"/>
        </w:rPr>
        <w:t>(SIERRA; PELLICER; YEPES, 2015)</w:t>
      </w:r>
      <w:r w:rsidR="005E03C0">
        <w:rPr>
          <w:rFonts w:ascii="Times New Roman" w:hAnsi="Times New Roman" w:cs="Times New Roman"/>
          <w:sz w:val="24"/>
          <w:szCs w:val="24"/>
        </w:rPr>
        <w:fldChar w:fldCharType="end"/>
      </w:r>
      <w:r w:rsidRPr="004F3A42">
        <w:rPr>
          <w:rFonts w:ascii="Times New Roman" w:hAnsi="Times New Roman" w:cs="Times New Roman"/>
          <w:sz w:val="24"/>
          <w:szCs w:val="24"/>
        </w:rPr>
        <w:t xml:space="preserve">. Dessa maneira, o conceito de desenvolvimento sustentável transformou-se em um desenvolvimento que considera os aspectos econômicos, sociais e ambientais, sem comprometer a oportunidade de desenvolvimento das gerações futuras nem a vida no planeta </w:t>
      </w:r>
      <w:r w:rsidR="005E03C0">
        <w:rPr>
          <w:rFonts w:ascii="Times New Roman" w:hAnsi="Times New Roman" w:cs="Times New Roman"/>
          <w:sz w:val="24"/>
          <w:szCs w:val="24"/>
        </w:rPr>
        <w:fldChar w:fldCharType="begin" w:fldLock="1"/>
      </w:r>
      <w:r w:rsidR="005E03C0">
        <w:rPr>
          <w:rFonts w:ascii="Times New Roman" w:hAnsi="Times New Roman" w:cs="Times New Roman"/>
          <w:sz w:val="24"/>
          <w:szCs w:val="24"/>
        </w:rPr>
        <w:instrText>ADDIN CSL_CITATION {"citationItems":[{"id":"ITEM-1","itemData":{"abstract":"World Commission on Environment and Development (UN). 1987. Report of Brundtland: “Our common future”. 318 p.","author":[{"dropping-particle":"","family":"ONU","given":"","non-dropping-particle":"","parse-names":false,"suffix":""}],"container-title":"World Commission on Environment and Development","id":"ITEM-1","issued":{"date-parts":[["1987"]]},"title":"Brutland Report: Our Common Future","type":"article-journal"},"uris":["http://www.mendeley.com/documents/?uuid=e77a4e2f-60b5-4f5f-9347-eb68303e81c8"]}],"mendeley":{"formattedCitation":"(ONU, 1987)","plainTextFormattedCitation":"(ONU, 1987)","previouslyFormattedCitation":"(ONU, 1987)"},"properties":{"noteIndex":0},"schema":"https://github.com/citation-style-language/schema/raw/master/csl-citation.json"}</w:instrText>
      </w:r>
      <w:r w:rsidR="005E03C0">
        <w:rPr>
          <w:rFonts w:ascii="Times New Roman" w:hAnsi="Times New Roman" w:cs="Times New Roman"/>
          <w:sz w:val="24"/>
          <w:szCs w:val="24"/>
        </w:rPr>
        <w:fldChar w:fldCharType="separate"/>
      </w:r>
      <w:r w:rsidR="005E03C0" w:rsidRPr="005E03C0">
        <w:rPr>
          <w:rFonts w:ascii="Times New Roman" w:hAnsi="Times New Roman" w:cs="Times New Roman"/>
          <w:noProof/>
          <w:sz w:val="24"/>
          <w:szCs w:val="24"/>
        </w:rPr>
        <w:t>(ONU, 1987)</w:t>
      </w:r>
      <w:r w:rsidR="005E03C0">
        <w:rPr>
          <w:rFonts w:ascii="Times New Roman" w:hAnsi="Times New Roman" w:cs="Times New Roman"/>
          <w:sz w:val="24"/>
          <w:szCs w:val="24"/>
        </w:rPr>
        <w:fldChar w:fldCharType="end"/>
      </w:r>
      <w:r w:rsidRPr="004F3A42">
        <w:rPr>
          <w:rFonts w:ascii="Times New Roman" w:hAnsi="Times New Roman" w:cs="Times New Roman"/>
          <w:sz w:val="24"/>
          <w:szCs w:val="24"/>
        </w:rPr>
        <w:t>.</w:t>
      </w:r>
    </w:p>
    <w:p w14:paraId="0D4030D7" w14:textId="337F3A2E" w:rsidR="004F3A42" w:rsidRPr="004F3A42" w:rsidRDefault="004F3A42" w:rsidP="004F3A42">
      <w:pPr>
        <w:rPr>
          <w:rFonts w:ascii="Times New Roman" w:hAnsi="Times New Roman" w:cs="Times New Roman"/>
          <w:sz w:val="24"/>
          <w:szCs w:val="24"/>
        </w:rPr>
      </w:pPr>
      <w:r w:rsidRPr="004F3A42">
        <w:rPr>
          <w:rFonts w:ascii="Times New Roman" w:hAnsi="Times New Roman" w:cs="Times New Roman"/>
          <w:sz w:val="24"/>
          <w:szCs w:val="24"/>
        </w:rPr>
        <w:lastRenderedPageBreak/>
        <w:t xml:space="preserve">De acordo com </w:t>
      </w:r>
      <w:r w:rsidR="005E03C0">
        <w:rPr>
          <w:rFonts w:ascii="Times New Roman" w:hAnsi="Times New Roman" w:cs="Times New Roman"/>
          <w:sz w:val="24"/>
          <w:szCs w:val="24"/>
        </w:rPr>
        <w:fldChar w:fldCharType="begin" w:fldLock="1"/>
      </w:r>
      <w:r w:rsidR="005E03C0">
        <w:rPr>
          <w:rFonts w:ascii="Times New Roman" w:hAnsi="Times New Roman" w:cs="Times New Roman"/>
          <w:sz w:val="24"/>
          <w:szCs w:val="24"/>
        </w:rPr>
        <w:instrText>ADDIN CSL_CITATION {"citationItems":[{"id":"ITEM-1","itemData":{"DOI":"10.1108/eb014106","author":[{"dropping-particle":"","family":"Nijkamp","given":"P","non-dropping-particle":"","parse-names":false,"suffix":""},{"dropping-particle":"","family":"Soeteman","given":"Frits","non-dropping-particle":"","parse-names":false,"suffix":""}],"container-title":"International Journal of Social Economics","id":"ITEM-1","issued":{"date-parts":[["1988"]]},"title":"Ecologically Sustainable Economic Development: Key Issues for Strategic Environmental Management","type":"article-journal","volume":"15"},"uris":["http://www.mendeley.com/documents/?uuid=de849815-2b90-410b-8354-39d94f12d382"]}],"mendeley":{"formattedCitation":"(NIJKAMP; SOETEMAN, 1988)","manualFormatting":"Nijkamp e Soeteman (1988)","plainTextFormattedCitation":"(NIJKAMP; SOETEMAN, 1988)","previouslyFormattedCitation":"(NIJKAMP; SOETEMAN, 1988)"},"properties":{"noteIndex":0},"schema":"https://github.com/citation-style-language/schema/raw/master/csl-citation.json"}</w:instrText>
      </w:r>
      <w:r w:rsidR="005E03C0">
        <w:rPr>
          <w:rFonts w:ascii="Times New Roman" w:hAnsi="Times New Roman" w:cs="Times New Roman"/>
          <w:sz w:val="24"/>
          <w:szCs w:val="24"/>
        </w:rPr>
        <w:fldChar w:fldCharType="separate"/>
      </w:r>
      <w:r w:rsidR="005E03C0" w:rsidRPr="005E03C0">
        <w:rPr>
          <w:rFonts w:ascii="Times New Roman" w:hAnsi="Times New Roman" w:cs="Times New Roman"/>
          <w:noProof/>
          <w:sz w:val="24"/>
          <w:szCs w:val="24"/>
        </w:rPr>
        <w:t>Nijkamp</w:t>
      </w:r>
      <w:r w:rsidR="005E03C0">
        <w:rPr>
          <w:rFonts w:ascii="Times New Roman" w:hAnsi="Times New Roman" w:cs="Times New Roman"/>
          <w:noProof/>
          <w:sz w:val="24"/>
          <w:szCs w:val="24"/>
        </w:rPr>
        <w:t xml:space="preserve"> e</w:t>
      </w:r>
      <w:r w:rsidR="005E03C0" w:rsidRPr="005E03C0">
        <w:rPr>
          <w:rFonts w:ascii="Times New Roman" w:hAnsi="Times New Roman" w:cs="Times New Roman"/>
          <w:noProof/>
          <w:sz w:val="24"/>
          <w:szCs w:val="24"/>
        </w:rPr>
        <w:t xml:space="preserve"> Soeteman </w:t>
      </w:r>
      <w:r w:rsidR="005E03C0">
        <w:rPr>
          <w:rFonts w:ascii="Times New Roman" w:hAnsi="Times New Roman" w:cs="Times New Roman"/>
          <w:noProof/>
          <w:sz w:val="24"/>
          <w:szCs w:val="24"/>
        </w:rPr>
        <w:t>(</w:t>
      </w:r>
      <w:r w:rsidR="005E03C0" w:rsidRPr="005E03C0">
        <w:rPr>
          <w:rFonts w:ascii="Times New Roman" w:hAnsi="Times New Roman" w:cs="Times New Roman"/>
          <w:noProof/>
          <w:sz w:val="24"/>
          <w:szCs w:val="24"/>
        </w:rPr>
        <w:t>1988)</w:t>
      </w:r>
      <w:r w:rsidR="005E03C0">
        <w:rPr>
          <w:rFonts w:ascii="Times New Roman" w:hAnsi="Times New Roman" w:cs="Times New Roman"/>
          <w:sz w:val="24"/>
          <w:szCs w:val="24"/>
        </w:rPr>
        <w:fldChar w:fldCharType="end"/>
      </w:r>
      <w:r w:rsidRPr="004F3A42">
        <w:rPr>
          <w:rFonts w:ascii="Times New Roman" w:hAnsi="Times New Roman" w:cs="Times New Roman"/>
          <w:sz w:val="24"/>
          <w:szCs w:val="24"/>
        </w:rPr>
        <w:t xml:space="preserve">, a sustentabilidade ambiental refere-se à habilidade do ecossistema em manter, ou melhorar, sua qualidade e alcançar uma situação estável à longo prazo, apesar das mudanças de curto prazo. </w:t>
      </w:r>
    </w:p>
    <w:p w14:paraId="729E4FBD" w14:textId="081ED98A" w:rsidR="004F3A42" w:rsidRPr="004F3A42" w:rsidRDefault="004F3A42" w:rsidP="004F3A42">
      <w:pPr>
        <w:rPr>
          <w:rFonts w:ascii="Times New Roman" w:hAnsi="Times New Roman" w:cs="Times New Roman"/>
          <w:sz w:val="24"/>
          <w:szCs w:val="24"/>
        </w:rPr>
      </w:pPr>
      <w:r w:rsidRPr="004F3A42">
        <w:rPr>
          <w:rFonts w:ascii="Times New Roman" w:hAnsi="Times New Roman" w:cs="Times New Roman"/>
          <w:sz w:val="24"/>
          <w:szCs w:val="24"/>
        </w:rPr>
        <w:t xml:space="preserve">Já a sustentabilidade econômica refere-se à um sistema de produção que satisfaça os níveis de consumo atual sem comprometer as necessidades futuras, levando em consideração as restrições ambientais e de custos </w:t>
      </w:r>
      <w:r w:rsidR="005E03C0">
        <w:rPr>
          <w:rFonts w:ascii="Times New Roman" w:hAnsi="Times New Roman" w:cs="Times New Roman"/>
          <w:sz w:val="24"/>
          <w:szCs w:val="24"/>
        </w:rPr>
        <w:fldChar w:fldCharType="begin" w:fldLock="1"/>
      </w:r>
      <w:r w:rsidR="005E03C0">
        <w:rPr>
          <w:rFonts w:ascii="Times New Roman" w:hAnsi="Times New Roman" w:cs="Times New Roman"/>
          <w:sz w:val="24"/>
          <w:szCs w:val="24"/>
        </w:rPr>
        <w:instrText>ADDIN CSL_CITATION {"citationItems":[{"id":"ITEM-1","itemData":{"DOI":"10.1002/sd.3460030203","ISSN":"10991719","author":[{"dropping-particle":"","family":"Khan","given":"M. Adil","non-dropping-particle":"","parse-names":false,"suffix":""}],"container-title":"Sustainable Development","id":"ITEM-1","issue":"2","issued":{"date-parts":[["1995"]]},"page":"63-69","title":"Sustainable development: The key concepts, issues and implications. Keynote paper given at the international sustainable development research conference, 27–29 march 1995, Manchester, UK","type":"article-journal","volume":"3"},"uris":["http://www.mendeley.com/documents/?uuid=4c047fee-5d51-4590-a913-63f852c667c0"]}],"mendeley":{"formattedCitation":"(KHAN, 1995)","plainTextFormattedCitation":"(KHAN, 1995)","previouslyFormattedCitation":"(KHAN, 1995)"},"properties":{"noteIndex":0},"schema":"https://github.com/citation-style-language/schema/raw/master/csl-citation.json"}</w:instrText>
      </w:r>
      <w:r w:rsidR="005E03C0">
        <w:rPr>
          <w:rFonts w:ascii="Times New Roman" w:hAnsi="Times New Roman" w:cs="Times New Roman"/>
          <w:sz w:val="24"/>
          <w:szCs w:val="24"/>
        </w:rPr>
        <w:fldChar w:fldCharType="separate"/>
      </w:r>
      <w:r w:rsidR="005E03C0" w:rsidRPr="005E03C0">
        <w:rPr>
          <w:rFonts w:ascii="Times New Roman" w:hAnsi="Times New Roman" w:cs="Times New Roman"/>
          <w:noProof/>
          <w:sz w:val="24"/>
          <w:szCs w:val="24"/>
        </w:rPr>
        <w:t>(KHAN, 1995)</w:t>
      </w:r>
      <w:r w:rsidR="005E03C0">
        <w:rPr>
          <w:rFonts w:ascii="Times New Roman" w:hAnsi="Times New Roman" w:cs="Times New Roman"/>
          <w:sz w:val="24"/>
          <w:szCs w:val="24"/>
        </w:rPr>
        <w:fldChar w:fldCharType="end"/>
      </w:r>
      <w:r w:rsidRPr="004F3A42">
        <w:rPr>
          <w:rFonts w:ascii="Times New Roman" w:hAnsi="Times New Roman" w:cs="Times New Roman"/>
          <w:sz w:val="24"/>
          <w:szCs w:val="24"/>
        </w:rPr>
        <w:t xml:space="preserve">. Mais recentemente, </w:t>
      </w:r>
      <w:r w:rsidR="005E03C0">
        <w:rPr>
          <w:rFonts w:ascii="Times New Roman" w:hAnsi="Times New Roman" w:cs="Times New Roman"/>
          <w:sz w:val="24"/>
          <w:szCs w:val="24"/>
        </w:rPr>
        <w:fldChar w:fldCharType="begin" w:fldLock="1"/>
      </w:r>
      <w:r w:rsidR="005E03C0">
        <w:rPr>
          <w:rFonts w:ascii="Times New Roman" w:hAnsi="Times New Roman" w:cs="Times New Roman"/>
          <w:sz w:val="24"/>
          <w:szCs w:val="24"/>
        </w:rPr>
        <w:instrText>ADDIN CSL_CITATION {"citationItems":[{"id":"ITEM-1","itemData":{"abstract":"Sustainable development concepts revolving around policies of economic; environmental; and social have been widely discussed in a worldwide scale. The housing industry by nature is multi-faceted, consumes natural resources and produces impact on the natural environment. It constitutes to economic activities and impacts on the economy in such a way that it is an important component of social development and quality of life. Thus, sustainability issues should not be exempted in housing development as housing being the key ingredient of progress and governance.Creating sustainable housing development depends on the knowledge and involvement of all players in the industry. This paper attempts to identify the elements of sustainable development and subsequently chart the level of awareness and implementation of sustainable housing development based on the current practice by the construction key players. Key players being the Clients, Professionals and Contractors were approached to measure the persistence and awareness of the sustainable development issues by means of questionnaires. The findings of this paper identified and benchmarked the elements which are important towards creating a sustainable housing development. In future research, a survey combining both interviews and questionnaire could be extended to a larger sized respondents of house buyers and key respondents to acquire better sampling findings.","author":[{"dropping-particle":"","family":"Said","given":"Ilias","non-dropping-particle":"","parse-names":false,"suffix":""},{"dropping-particle":"","family":"Osman","given":"Omar","non-dropping-particle":"","parse-names":false,"suffix":""},{"dropping-particle":"","family":"Shafiei","given":"MM","non-dropping-particle":"","parse-names":false,"suffix":""}],"container-title":"The Journal of Global …","id":"ITEM-1","issue":"August","issued":{"date-parts":[["2009"]]},"title":"Sustainability in the Housing Development Among Construction Industry Players in Malaysia","type":"article-journal"},"uris":["http://www.mendeley.com/documents/?uuid=75587caa-fc84-4d0a-a312-3bb33fee1cb8"]}],"mendeley":{"formattedCitation":"(SAID; OSMAN; SHAFIEI, 2009)","manualFormatting":"Said, Osman e Shafiei (2009)","plainTextFormattedCitation":"(SAID; OSMAN; SHAFIEI, 2009)","previouslyFormattedCitation":"(SAID; OSMAN; SHAFIEI, 2009)"},"properties":{"noteIndex":0},"schema":"https://github.com/citation-style-language/schema/raw/master/csl-citation.json"}</w:instrText>
      </w:r>
      <w:r w:rsidR="005E03C0">
        <w:rPr>
          <w:rFonts w:ascii="Times New Roman" w:hAnsi="Times New Roman" w:cs="Times New Roman"/>
          <w:sz w:val="24"/>
          <w:szCs w:val="24"/>
        </w:rPr>
        <w:fldChar w:fldCharType="separate"/>
      </w:r>
      <w:r w:rsidR="005E03C0" w:rsidRPr="005E03C0">
        <w:rPr>
          <w:rFonts w:ascii="Times New Roman" w:hAnsi="Times New Roman" w:cs="Times New Roman"/>
          <w:noProof/>
          <w:sz w:val="24"/>
          <w:szCs w:val="24"/>
        </w:rPr>
        <w:t>Said</w:t>
      </w:r>
      <w:r w:rsidR="005E03C0">
        <w:rPr>
          <w:rFonts w:ascii="Times New Roman" w:hAnsi="Times New Roman" w:cs="Times New Roman"/>
          <w:noProof/>
          <w:sz w:val="24"/>
          <w:szCs w:val="24"/>
        </w:rPr>
        <w:t>,</w:t>
      </w:r>
      <w:r w:rsidR="005E03C0" w:rsidRPr="005E03C0">
        <w:rPr>
          <w:rFonts w:ascii="Times New Roman" w:hAnsi="Times New Roman" w:cs="Times New Roman"/>
          <w:noProof/>
          <w:sz w:val="24"/>
          <w:szCs w:val="24"/>
        </w:rPr>
        <w:t xml:space="preserve"> Osman</w:t>
      </w:r>
      <w:r w:rsidR="005E03C0">
        <w:rPr>
          <w:rFonts w:ascii="Times New Roman" w:hAnsi="Times New Roman" w:cs="Times New Roman"/>
          <w:noProof/>
          <w:sz w:val="24"/>
          <w:szCs w:val="24"/>
        </w:rPr>
        <w:t xml:space="preserve"> e</w:t>
      </w:r>
      <w:r w:rsidR="005E03C0" w:rsidRPr="005E03C0">
        <w:rPr>
          <w:rFonts w:ascii="Times New Roman" w:hAnsi="Times New Roman" w:cs="Times New Roman"/>
          <w:noProof/>
          <w:sz w:val="24"/>
          <w:szCs w:val="24"/>
        </w:rPr>
        <w:t xml:space="preserve"> Shafiei </w:t>
      </w:r>
      <w:r w:rsidR="005E03C0">
        <w:rPr>
          <w:rFonts w:ascii="Times New Roman" w:hAnsi="Times New Roman" w:cs="Times New Roman"/>
          <w:noProof/>
          <w:sz w:val="24"/>
          <w:szCs w:val="24"/>
        </w:rPr>
        <w:t>(</w:t>
      </w:r>
      <w:r w:rsidR="005E03C0" w:rsidRPr="005E03C0">
        <w:rPr>
          <w:rFonts w:ascii="Times New Roman" w:hAnsi="Times New Roman" w:cs="Times New Roman"/>
          <w:noProof/>
          <w:sz w:val="24"/>
          <w:szCs w:val="24"/>
        </w:rPr>
        <w:t>2009)</w:t>
      </w:r>
      <w:r w:rsidR="005E03C0">
        <w:rPr>
          <w:rFonts w:ascii="Times New Roman" w:hAnsi="Times New Roman" w:cs="Times New Roman"/>
          <w:sz w:val="24"/>
          <w:szCs w:val="24"/>
        </w:rPr>
        <w:fldChar w:fldCharType="end"/>
      </w:r>
      <w:r w:rsidRPr="004F3A42">
        <w:rPr>
          <w:rFonts w:ascii="Times New Roman" w:hAnsi="Times New Roman" w:cs="Times New Roman"/>
          <w:sz w:val="24"/>
          <w:szCs w:val="24"/>
        </w:rPr>
        <w:t xml:space="preserve"> entendem sustentabilidade econômica como a busca para maximização do fluxo de renda, que pode gerar e manter o estoque de ativos, obtendo resultados benéficos.</w:t>
      </w:r>
    </w:p>
    <w:p w14:paraId="3E66093C" w14:textId="660F3F58" w:rsidR="004F3A42" w:rsidRDefault="004F3A42" w:rsidP="004F3A42">
      <w:pPr>
        <w:rPr>
          <w:rFonts w:ascii="Times New Roman" w:hAnsi="Times New Roman" w:cs="Times New Roman"/>
          <w:sz w:val="24"/>
          <w:szCs w:val="24"/>
        </w:rPr>
      </w:pPr>
      <w:r w:rsidRPr="004F3A42">
        <w:rPr>
          <w:rFonts w:ascii="Times New Roman" w:hAnsi="Times New Roman" w:cs="Times New Roman"/>
          <w:sz w:val="24"/>
          <w:szCs w:val="24"/>
        </w:rPr>
        <w:t xml:space="preserve">A sustentabilidade social já recebeu definições variadas </w:t>
      </w:r>
      <w:r w:rsidR="005E03C0">
        <w:rPr>
          <w:rFonts w:ascii="Times New Roman" w:hAnsi="Times New Roman" w:cs="Times New Roman"/>
          <w:sz w:val="24"/>
          <w:szCs w:val="24"/>
        </w:rPr>
        <w:fldChar w:fldCharType="begin" w:fldLock="1"/>
      </w:r>
      <w:r w:rsidR="005E03C0">
        <w:rPr>
          <w:rFonts w:ascii="Times New Roman" w:hAnsi="Times New Roman" w:cs="Times New Roman"/>
          <w:sz w:val="24"/>
          <w:szCs w:val="24"/>
        </w:rPr>
        <w:instrText>ADDIN CSL_CITATION {"citationItems":[{"id":"ITEM-1","itemData":{"ISSN":"19853807","author":[{"dropping-particle":"","family":"Azmi","given":"Wan Nur Syuhadah Wan Mohd","non-dropping-particle":"","parse-names":false,"suffix":""},{"dropping-particle":"","family":"Rashid","given":"Zul Zakiyuddin Ahmad","non-dropping-particle":"","parse-names":false,"suffix":""},{"dropping-particle":"","family":"Adnan","given":"Hamimah","non-dropping-particle":"","parse-names":false,"suffix":""},{"dropping-particle":"","family":"Yusuwan","given":"Norazian Mohd","non-dropping-particle":"","parse-names":false,"suffix":""}],"container-title":"Malaysian Construction Research Journal","id":"ITEM-1","issue":"Special Issue 1","issued":{"date-parts":[["2018"]]},"title":"Housing Developer’s Perspective os Social Sustainability","type":"article-journal","volume":"3"},"uris":["http://www.mendeley.com/documents/?uuid=d6f52914-9bd4-4c07-8219-9d882dc34feb"]}],"mendeley":{"formattedCitation":"(AZMI et al., 2018)","plainTextFormattedCitation":"(AZMI et al., 2018)","previouslyFormattedCitation":"(AZMI et al., 2018)"},"properties":{"noteIndex":0},"schema":"https://github.com/citation-style-language/schema/raw/master/csl-citation.json"}</w:instrText>
      </w:r>
      <w:r w:rsidR="005E03C0">
        <w:rPr>
          <w:rFonts w:ascii="Times New Roman" w:hAnsi="Times New Roman" w:cs="Times New Roman"/>
          <w:sz w:val="24"/>
          <w:szCs w:val="24"/>
        </w:rPr>
        <w:fldChar w:fldCharType="separate"/>
      </w:r>
      <w:r w:rsidR="005E03C0" w:rsidRPr="005E03C0">
        <w:rPr>
          <w:rFonts w:ascii="Times New Roman" w:hAnsi="Times New Roman" w:cs="Times New Roman"/>
          <w:noProof/>
          <w:sz w:val="24"/>
          <w:szCs w:val="24"/>
        </w:rPr>
        <w:t>(AZMI et al., 2018)</w:t>
      </w:r>
      <w:r w:rsidR="005E03C0">
        <w:rPr>
          <w:rFonts w:ascii="Times New Roman" w:hAnsi="Times New Roman" w:cs="Times New Roman"/>
          <w:sz w:val="24"/>
          <w:szCs w:val="24"/>
        </w:rPr>
        <w:fldChar w:fldCharType="end"/>
      </w:r>
      <w:r w:rsidRPr="004F3A42">
        <w:rPr>
          <w:rFonts w:ascii="Times New Roman" w:hAnsi="Times New Roman" w:cs="Times New Roman"/>
          <w:sz w:val="24"/>
          <w:szCs w:val="24"/>
        </w:rPr>
        <w:t xml:space="preserve">. Uma das definições mais populares é a que se refere ao enfoque ás pessoas, no sentido de manter e melhorar o bem-estar das pessoas nas futuras gerações </w:t>
      </w:r>
      <w:r w:rsidR="005E03C0">
        <w:rPr>
          <w:rFonts w:ascii="Times New Roman" w:hAnsi="Times New Roman" w:cs="Times New Roman"/>
          <w:sz w:val="24"/>
          <w:szCs w:val="24"/>
        </w:rPr>
        <w:fldChar w:fldCharType="begin" w:fldLock="1"/>
      </w:r>
      <w:r w:rsidR="005E03C0">
        <w:rPr>
          <w:rFonts w:ascii="Times New Roman" w:hAnsi="Times New Roman" w:cs="Times New Roman"/>
          <w:sz w:val="24"/>
          <w:szCs w:val="24"/>
        </w:rPr>
        <w:instrText>ADDIN CSL_CITATION {"citationItems":[{"id":"ITEM-1","itemData":{"DOI":"10.1017/CBO9781107415324.004","ISBN":"9788578110796","ISSN":"1098-6596","PMID":"25246403","abstract":"International Union for Conservation of Nature and Natural Resources.","author":[{"dropping-particle":"","family":"Borrini-Feyerabend","given":"G.","non-dropping-particle":"","parse-names":false,"suffix":""}],"container-title":"PhD Proposal","id":"ITEM-1","issued":{"date-parts":[["1997"]]},"number-of-pages":"283","title":"Beyond Fences: Seeking Social Sustainability in Conservation","type":"book","volume":"1"},"uris":["http://www.mendeley.com/documents/?uuid=8ceb2167-50ba-468f-96d2-226f0be71061"]}],"mendeley":{"formattedCitation":"(BORRINI-FEYERABEND, 1997)","plainTextFormattedCitation":"(BORRINI-FEYERABEND, 1997)","previouslyFormattedCitation":"(BORRINI-FEYERABEND, 1997)"},"properties":{"noteIndex":0},"schema":"https://github.com/citation-style-language/schema/raw/master/csl-citation.json"}</w:instrText>
      </w:r>
      <w:r w:rsidR="005E03C0">
        <w:rPr>
          <w:rFonts w:ascii="Times New Roman" w:hAnsi="Times New Roman" w:cs="Times New Roman"/>
          <w:sz w:val="24"/>
          <w:szCs w:val="24"/>
        </w:rPr>
        <w:fldChar w:fldCharType="separate"/>
      </w:r>
      <w:r w:rsidR="005E03C0" w:rsidRPr="005E03C0">
        <w:rPr>
          <w:rFonts w:ascii="Times New Roman" w:hAnsi="Times New Roman" w:cs="Times New Roman"/>
          <w:noProof/>
          <w:sz w:val="24"/>
          <w:szCs w:val="24"/>
        </w:rPr>
        <w:t>(BORRINI-FEYERABEND, 1997)</w:t>
      </w:r>
      <w:r w:rsidR="005E03C0">
        <w:rPr>
          <w:rFonts w:ascii="Times New Roman" w:hAnsi="Times New Roman" w:cs="Times New Roman"/>
          <w:sz w:val="24"/>
          <w:szCs w:val="24"/>
        </w:rPr>
        <w:fldChar w:fldCharType="end"/>
      </w:r>
      <w:r w:rsidRPr="004F3A42">
        <w:rPr>
          <w:rFonts w:ascii="Times New Roman" w:hAnsi="Times New Roman" w:cs="Times New Roman"/>
          <w:sz w:val="24"/>
          <w:szCs w:val="24"/>
        </w:rPr>
        <w:t>.</w:t>
      </w:r>
    </w:p>
    <w:p w14:paraId="2D96CD85" w14:textId="77777777" w:rsidR="00373506" w:rsidRPr="00373506" w:rsidRDefault="00373506" w:rsidP="00373506">
      <w:pPr>
        <w:rPr>
          <w:rFonts w:ascii="Times New Roman" w:hAnsi="Times New Roman" w:cs="Times New Roman"/>
          <w:sz w:val="24"/>
          <w:szCs w:val="24"/>
        </w:rPr>
      </w:pPr>
      <w:r w:rsidRPr="00373506">
        <w:rPr>
          <w:rFonts w:ascii="Times New Roman" w:hAnsi="Times New Roman" w:cs="Times New Roman"/>
          <w:sz w:val="24"/>
          <w:szCs w:val="24"/>
        </w:rPr>
        <w:t>Objetiva-se com este trabalho identificar indicadores de sustentabilidade social aplicáveis às construtoras de edificações de grande e médio porte, com mais de 100 funcionários, na Região Metropolitana do Recife (RMR).</w:t>
      </w:r>
    </w:p>
    <w:p w14:paraId="48AE38B7" w14:textId="2013BB2F" w:rsidR="00373506" w:rsidRDefault="00373506" w:rsidP="00373506">
      <w:pPr>
        <w:rPr>
          <w:rFonts w:ascii="Times New Roman" w:hAnsi="Times New Roman" w:cs="Times New Roman"/>
          <w:sz w:val="24"/>
          <w:szCs w:val="24"/>
        </w:rPr>
      </w:pPr>
      <w:r w:rsidRPr="00373506">
        <w:rPr>
          <w:rFonts w:ascii="Times New Roman" w:hAnsi="Times New Roman" w:cs="Times New Roman"/>
          <w:sz w:val="24"/>
          <w:szCs w:val="24"/>
        </w:rPr>
        <w:t>Para tal, o trabalho foi estruturado com os seguintes objetivos específicos: Compilar e escolher o conceito de sustentabilidade que será aplicado neste estudo; compilar e selecionar indicadores sociais utilizados mundialmente para avaliação das empresas locais; levantar dados nas construtoras relativos às suas percepções de valor e status de coleta atual de cada um dos indicadores selecionados; e estabelecer priorização entre os indicadores previamente selecionados.</w:t>
      </w:r>
    </w:p>
    <w:p w14:paraId="3000BB6A" w14:textId="272293F9" w:rsidR="00373506" w:rsidRDefault="00373506" w:rsidP="00373506">
      <w:pPr>
        <w:rPr>
          <w:rFonts w:ascii="Times New Roman" w:hAnsi="Times New Roman" w:cs="Times New Roman"/>
          <w:sz w:val="24"/>
          <w:szCs w:val="24"/>
        </w:rPr>
      </w:pPr>
    </w:p>
    <w:p w14:paraId="74936F5A" w14:textId="121B235B" w:rsidR="00373506" w:rsidRPr="00373506" w:rsidRDefault="00373506" w:rsidP="00373506">
      <w:pPr>
        <w:rPr>
          <w:rFonts w:ascii="Times New Roman" w:hAnsi="Times New Roman" w:cs="Times New Roman"/>
          <w:b/>
          <w:sz w:val="24"/>
          <w:szCs w:val="24"/>
        </w:rPr>
      </w:pPr>
      <w:r w:rsidRPr="00373506">
        <w:rPr>
          <w:rFonts w:ascii="Times New Roman" w:hAnsi="Times New Roman" w:cs="Times New Roman"/>
          <w:b/>
          <w:sz w:val="24"/>
          <w:szCs w:val="24"/>
        </w:rPr>
        <w:t>ASPECTO SOCIAL DA SUSTENTABILIDADE</w:t>
      </w:r>
    </w:p>
    <w:p w14:paraId="6B7D1B23" w14:textId="321C6860" w:rsidR="00576930" w:rsidRDefault="00576930" w:rsidP="00576930">
      <w:pPr>
        <w:rPr>
          <w:rFonts w:ascii="Times New Roman" w:hAnsi="Times New Roman" w:cs="Times New Roman"/>
          <w:sz w:val="24"/>
          <w:szCs w:val="24"/>
        </w:rPr>
      </w:pPr>
      <w:r w:rsidRPr="00436224">
        <w:rPr>
          <w:rFonts w:ascii="Times New Roman" w:hAnsi="Times New Roman" w:cs="Times New Roman"/>
          <w:sz w:val="24"/>
          <w:szCs w:val="24"/>
        </w:rPr>
        <w:t xml:space="preserve">Apesar da grande influência das edificações no âmbito da sustentabilidade, o aspecto social tem sido negligenciado quando comparado com os econômicos e ambientais </w:t>
      </w:r>
      <w:r>
        <w:rPr>
          <w:rFonts w:ascii="Times New Roman" w:hAnsi="Times New Roman" w:cs="Times New Roman"/>
          <w:sz w:val="24"/>
          <w:szCs w:val="24"/>
        </w:rPr>
        <w:fldChar w:fldCharType="begin" w:fldLock="1"/>
      </w:r>
      <w:r w:rsidR="005E03C0">
        <w:rPr>
          <w:rFonts w:ascii="Times New Roman" w:hAnsi="Times New Roman" w:cs="Times New Roman"/>
          <w:sz w:val="24"/>
          <w:szCs w:val="24"/>
        </w:rPr>
        <w:instrText>ADDIN CSL_CITATION {"citationItems":[{"id":"ITEM-1","itemData":{"author":[{"dropping-particle":"","family":"KOHLMAN RABBANI","given":"EMILIA RAHNEMAY","non-dropping-particle":"","parse-names":false,"suffix":""},{"dropping-particle":"","family":"PEREIRA","given":"M. L.","non-dropping-particle":"","parse-names":false,"suffix":""},{"dropping-particle":"","family":"CRUZ","given":"E.N.","non-dropping-particle":"","parse-names":false,"suffix":""}],"container-title":"Sustentabilidade Urbana","edition":"1 ed.","id":"ITEM-1","issued":{"date-parts":[["2017"]]},"page":"61-84","publisher":"EDUPE","publisher-place":"Recife","title":"Sustentabilidade Social em Projetos de Construção","type":"chapter"},"uris":["http://www.mendeley.com/documents/?uuid=5a80fcdc-10ee-411d-994d-5dc7d9bbd750"]}],"mendeley":{"formattedCitation":"(KOHLMAN RABBANI; PEREIRA; CRUZ, 2017)","plainTextFormattedCitation":"(KOHLMAN RABBANI; PEREIRA; CRUZ, 2017)","previouslyFormattedCitation":"(KOHLMAN RABBANI; PEREIRA; CRUZ, 2017)"},"properties":{"noteIndex":0},"schema":"https://github.com/citation-style-language/schema/raw/master/csl-citation.json"}</w:instrText>
      </w:r>
      <w:r>
        <w:rPr>
          <w:rFonts w:ascii="Times New Roman" w:hAnsi="Times New Roman" w:cs="Times New Roman"/>
          <w:sz w:val="24"/>
          <w:szCs w:val="24"/>
        </w:rPr>
        <w:fldChar w:fldCharType="separate"/>
      </w:r>
      <w:r w:rsidRPr="002D2795">
        <w:rPr>
          <w:rFonts w:ascii="Times New Roman" w:hAnsi="Times New Roman" w:cs="Times New Roman"/>
          <w:noProof/>
          <w:sz w:val="24"/>
          <w:szCs w:val="24"/>
        </w:rPr>
        <w:t>(KOHLMAN RABBANI; PEREIRA; CRUZ, 2017)</w:t>
      </w:r>
      <w:r>
        <w:rPr>
          <w:rFonts w:ascii="Times New Roman" w:hAnsi="Times New Roman" w:cs="Times New Roman"/>
          <w:sz w:val="24"/>
          <w:szCs w:val="24"/>
        </w:rPr>
        <w:fldChar w:fldCharType="end"/>
      </w:r>
      <w:r w:rsidRPr="00436224">
        <w:rPr>
          <w:rFonts w:ascii="Times New Roman" w:hAnsi="Times New Roman" w:cs="Times New Roman"/>
          <w:sz w:val="24"/>
          <w:szCs w:val="24"/>
        </w:rPr>
        <w:t xml:space="preserve">. No entanto, o aspecto social é reconhecido como componente fundamental, pois aborda principalmente a combinação do espaço físico com enfoque na qualidade de vida dos intervenientes que interagem com a construção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{"citationItems":[{"id":"ITEM-1","itemData":{"ISSN":"19853807","author":[{"dropping-particle":"","family":"Azmi","given":"Wan Nur Syuhadah Wan Mohd","non-dropping-particle":"","parse-names":false,"suffix":""},{"dropping-particle":"","family":"Rashid","given":"Zul Zakiyuddin Ahmad","non-dropping-particle":"","parse-names":false,"suffix":""},{"dropping-particle":"","family":"Adnan","given":"Hamimah","non-dropping-particle":"","parse-names":false,"suffix":""},{"dropping-particle":"","family":"Yusuwan","given":"Norazian Mohd","non-dropping-particle":"","parse-names":false,"suffix":""}],"container-title":"Malaysian Construction Research Journal","id":"ITEM-1","issue":"Special Issue 1","issued":{"date-parts":[["2018"]]},"title":"Housing Developer’s Perspective os Social Sustainability","type":"article-journal","volume":"3"},"uris":["http://www.mendeley.com/documents/?uuid=d6f52914-9bd4-4c07-8219-9d882dc34feb"]}],"mendeley":{"formattedCitation":"(AZMI et al., 2018)","plainTextFormattedCitation":"(AZMI et al., 2018)","previouslyFormattedCitation":"(AZMI et al., 2018)"},"properties":{"noteIndex":0},"schema":"https://github.com/citation-style-language/schema/raw/master/csl-citation.json"}</w:instrText>
      </w:r>
      <w:r>
        <w:rPr>
          <w:rFonts w:ascii="Times New Roman" w:hAnsi="Times New Roman" w:cs="Times New Roman"/>
          <w:sz w:val="24"/>
          <w:szCs w:val="24"/>
        </w:rPr>
        <w:fldChar w:fldCharType="separate"/>
      </w:r>
      <w:r w:rsidRPr="002D2795">
        <w:rPr>
          <w:rFonts w:ascii="Times New Roman" w:hAnsi="Times New Roman" w:cs="Times New Roman"/>
          <w:noProof/>
          <w:sz w:val="24"/>
          <w:szCs w:val="24"/>
        </w:rPr>
        <w:t>(AZMI et al., 2018)</w:t>
      </w:r>
      <w:r>
        <w:rPr>
          <w:rFonts w:ascii="Times New Roman" w:hAnsi="Times New Roman" w:cs="Times New Roman"/>
          <w:sz w:val="24"/>
          <w:szCs w:val="24"/>
        </w:rPr>
        <w:fldChar w:fldCharType="end"/>
      </w:r>
      <w:r w:rsidRPr="00436224">
        <w:rPr>
          <w:rFonts w:ascii="Times New Roman" w:hAnsi="Times New Roman" w:cs="Times New Roman"/>
          <w:sz w:val="24"/>
          <w:szCs w:val="24"/>
        </w:rPr>
        <w:t>.</w:t>
      </w:r>
    </w:p>
    <w:p w14:paraId="3986ED79" w14:textId="77777777" w:rsidR="004F1878" w:rsidRDefault="004F1878" w:rsidP="004F1878">
      <w:pPr>
        <w:rPr>
          <w:rFonts w:ascii="Times New Roman" w:hAnsi="Times New Roman" w:cs="Times New Roman"/>
          <w:sz w:val="24"/>
          <w:szCs w:val="24"/>
        </w:rPr>
      </w:pPr>
      <w:r w:rsidRPr="0078005F">
        <w:rPr>
          <w:rFonts w:ascii="Times New Roman" w:hAnsi="Times New Roman" w:cs="Times New Roman"/>
          <w:sz w:val="24"/>
          <w:szCs w:val="24"/>
        </w:rPr>
        <w:lastRenderedPageBreak/>
        <w:t>As moradias são de extrema importância para o aspecto social. Os lares não podem ser considerados apenas como abrigo para os residentes, mas como uma necessidade social básica que pode fornecer uma melhora na qualidade de vida, distribuição de capital, empoderamento social, acessibilidade, identidade cultural e segurança. Portanto, sustentabilidade social nas habitações é de fundamental importância para sociedade (AZMI et al., 2018).</w:t>
      </w:r>
    </w:p>
    <w:p w14:paraId="08511A32" w14:textId="70D475F8" w:rsidR="004F1878" w:rsidRDefault="004F1878" w:rsidP="004F1878">
      <w:pPr>
        <w:rPr>
          <w:rFonts w:ascii="Times New Roman" w:hAnsi="Times New Roman" w:cs="Times New Roman"/>
          <w:sz w:val="24"/>
          <w:szCs w:val="24"/>
        </w:rPr>
      </w:pPr>
      <w:r w:rsidRPr="004F1878">
        <w:rPr>
          <w:rFonts w:ascii="Times New Roman" w:hAnsi="Times New Roman" w:cs="Times New Roman"/>
          <w:sz w:val="24"/>
          <w:szCs w:val="24"/>
        </w:rPr>
        <w:t xml:space="preserve">A não inclusão dos aspectos sociais nos empreendimentos estão associados a uma série de riscos, como comprometimento em alcançar os resultados adequados do projeto, a médio prazo, e possuir efeitos colaterais que podem pôr em risco a qualidade de vida das próximas gerações </w:t>
      </w:r>
      <w:r w:rsidR="005E03C0">
        <w:rPr>
          <w:rFonts w:ascii="Times New Roman" w:hAnsi="Times New Roman" w:cs="Times New Roman"/>
          <w:sz w:val="24"/>
          <w:szCs w:val="24"/>
        </w:rPr>
        <w:fldChar w:fldCharType="begin" w:fldLock="1"/>
      </w:r>
      <w:r w:rsidR="005E03C0">
        <w:rPr>
          <w:rFonts w:ascii="Times New Roman" w:hAnsi="Times New Roman" w:cs="Times New Roman"/>
          <w:sz w:val="24"/>
          <w:szCs w:val="24"/>
        </w:rPr>
        <w:instrText>ADDIN CSL_CITATION {"citationItems":[{"id":"ITEM-1","itemData":{"DOI":"10.1007/s11367-013-0594-0","ISSN":"09483349","abstract":"Technologies can contribute to sustainable development (e.g., improving living conditions) and at the same time cause sustainability problems (e.g., emissions). Decisions on alternative technologies should thus ideally be based on the principle to minimize the latter. Analyzing environmental, economic, and social aspects related to technologies supports decisions by identifying the “more sustainable” technology. This paper focuses on social issues. First, it discusses the applicability of the social life cycle assessment (SLCA) guidelines for a comparative technology analysis, taking the example of two case studies in developing countries. Indicating technologies as “sustainable” also means that they are indeed operated over the expected lifetime, which, in development projects, is often not guaranteed. Consequently, social aspects related to implementation conditions should be considered in an SLCA study as well. Thus, a second focus is laid on identifying appropriate indicators to address these aspects.","author":[{"dropping-particle":"","family":"Lehmann","given":"Annekatrin","non-dropping-particle":"","parse-names":false,"suffix":""},{"dropping-particle":"","family":"Zschieschang","given":"Eva","non-dropping-particle":"","parse-names":false,"suffix":""},{"dropping-particle":"","family":"Traverso","given":"Marzia","non-dropping-particle":"","parse-names":false,"suffix":""},{"dropping-particle":"","family":"Finkbeiner","given":"Matthias","non-dropping-particle":"","parse-names":false,"suffix":""},{"dropping-particle":"","family":"Schebek","given":"Liselotte","non-dropping-particle":"","parse-names":false,"suffix":""}],"container-title":"International Journal of Life Cycle Assessment","id":"ITEM-1","issue":"8","issued":{"date-parts":[["2013"]]},"page":"1581-1592","title":"Social aspects for sustainability assessment of technologies - Challenges for social life cycle assessment (SLCA)","type":"article-journal","volume":"18"},"uris":["http://www.mendeley.com/documents/?uuid=c9055868-ac25-49f2-bce2-6b09214b3a1e"]},{"id":"ITEM-2","itemData":{"DOI":"10.1061/(asce)co.1943-7862.0000876","ISSN":"0733-9364","abstract":"Social and political dynamics increasingly determine the fate of infrastructure development around the world. Decision makers involved with projects such as the Keystone XL pipeline in North America, the Belo Monte Dam in Brazil, and the Bujagali Dam in Uganda have been forced to substantially change their plans as a result of opposition. This study looks at such emergent dynamics to provide a quantitative assessment of risks associated with social sustainability in infrastructure development. An interactional model is proposed to analyze emergent risks in a complex system of systems and it is applied to emergent risks in infrastructure development. The analysis is based on the game-theoretic equilibria for an interaction between two actors, namely, the developer and the opposition. Using simulation the structural and contextual variations were investigated in the context of the project along with consequent emergent patterns of outcomes and associated risk profiles. The model comprises informal and formal interactional stages to investigate the impact of alternative mitigation strategies on project risk. The application of the proposed methodology is showcased in an analysis of informal and formal strategies to deliver socially sustainable projects. © 2014 American Society of Civil Engineers.","author":[{"dropping-particle":"","family":"Naderpajouh","given":"Nader","non-dropping-particle":"","parse-names":false,"suffix":""},{"dropping-particle":"","family":"Mahdavi","given":"Arash","non-dropping-particle":"","parse-names":false,"suffix":""},{"dropping-particle":"","family":"Hastak","given":"Makarand","non-dropping-particle":"","parse-names":false,"suffix":""},{"dropping-particle":"","family":"Aldrich","given":"Daniel P.","non-dropping-particle":"","parse-names":false,"suffix":""}],"container-title":"Journal of Construction Engineering and Management","id":"ITEM-2","issue":"8","issued":{"date-parts":[["2014"]]},"page":"04014029","title":"Modeling Social Opposition to Infrastructure Development","type":"article-journal","volume":"140"},"uris":["http://www.mendeley.com/documents/?uuid=8c92ca6e-bbae-421f-aa92-7c9d66110b21"]},{"id":"ITEM-3","itemData":{"DOI":"10.1061/(asce)co.1943-7862.0001099","ISSN":"0733-9364","abstract":"© 2015 American Society of Civil Engineers. To enhance concern for the social aspects of sustainability and to delineate the criteria to be considered at each stage of the lifecycle of an infrastructure, this paper aims to determine the relevance of a set of criteria that evaluate social sustainability throughout the lifecycle of a public civil infrastructure. This research presents the results of a case study applying the Delphi method to 24 Chilean experts consulted in a series of three rounds. In addition, binomial statistical tests and Kendall's coefficient were used to show the convergence of the experts. Thus, it was identified that of 36 initial criteria assessed at each stage of the lifecycle, the consideration of 20 is required at the design stage, 29 at the construction stage, 33 during operation, and 27 at demolition. T he most relevant criteria, per lifecycle stage, were Stakeholder Participation (design and demolition stages), External Local Population (design stage), Internal Human Resources (construction and demolition stages), Macro-Social Action of Socioenvironmental Activities (construction stage), and Macro-Social Action of Socioeconomic Activities (operation stage).","author":[{"dropping-particle":"","family":"Sierra","given":"Leonardo A.","non-dropping-particle":"","parse-names":false,"suffix":""},{"dropping-particle":"","family":"Pellicer","given":"Eugenio","non-dropping-particle":"","parse-names":false,"suffix":""},{"dropping-particle":"","family":"Yepes","given":"Víctor","non-dropping-particle":"","parse-names":false,"suffix":""}],"container-title":"Journal of Construction Engineering and Management","id":"ITEM-3","issue":"5","issued":{"date-parts":[["2015"]]},"page":"05015020","title":"Social Sustainability in the Lifecycle of Chilean Public Infrastructure","type":"article-journal","volume":"142"},"uris":["http://www.mendeley.com/documents/?uuid=fbbd4739-860b-4b49-8d89-d03174329137"]}],"mendeley":{"formattedCitation":"(LEHMANN et al., 2013; NADERPAJOUH et al., 2014; SIERRA; PELLICER; YEPES, 2015)","plainTextFormattedCitation":"(LEHMANN et al., 2013; NADERPAJOUH et al., 2014; SIERRA; PELLICER; YEPES, 2015)","previouslyFormattedCitation":"(LEHMANN et al., 2013; NADERPAJOUH et al., 2014; SIERRA; PELLICER; YEPES, 2015)"},"properties":{"noteIndex":0},"schema":"https://github.com/citation-style-language/schema/raw/master/csl-citation.json"}</w:instrText>
      </w:r>
      <w:r w:rsidR="005E03C0">
        <w:rPr>
          <w:rFonts w:ascii="Times New Roman" w:hAnsi="Times New Roman" w:cs="Times New Roman"/>
          <w:sz w:val="24"/>
          <w:szCs w:val="24"/>
        </w:rPr>
        <w:fldChar w:fldCharType="separate"/>
      </w:r>
      <w:r w:rsidR="005E03C0" w:rsidRPr="005E03C0">
        <w:rPr>
          <w:rFonts w:ascii="Times New Roman" w:hAnsi="Times New Roman" w:cs="Times New Roman"/>
          <w:noProof/>
          <w:sz w:val="24"/>
          <w:szCs w:val="24"/>
        </w:rPr>
        <w:t>(LEHMANN et al., 2013; NADERPAJOUH et al., 2014; SIERRA; PELLICER; YEPES, 2015)</w:t>
      </w:r>
      <w:r w:rsidR="005E03C0">
        <w:rPr>
          <w:rFonts w:ascii="Times New Roman" w:hAnsi="Times New Roman" w:cs="Times New Roman"/>
          <w:sz w:val="24"/>
          <w:szCs w:val="24"/>
        </w:rPr>
        <w:fldChar w:fldCharType="end"/>
      </w:r>
      <w:r w:rsidRPr="004F1878">
        <w:rPr>
          <w:rFonts w:ascii="Times New Roman" w:hAnsi="Times New Roman" w:cs="Times New Roman"/>
          <w:sz w:val="24"/>
          <w:szCs w:val="24"/>
        </w:rPr>
        <w:t xml:space="preserve">. </w:t>
      </w:r>
    </w:p>
    <w:p w14:paraId="46161010" w14:textId="4BEF3D64" w:rsidR="00373506" w:rsidRDefault="00373506" w:rsidP="004F1878">
      <w:pPr>
        <w:rPr>
          <w:rFonts w:ascii="Times New Roman" w:hAnsi="Times New Roman" w:cs="Times New Roman"/>
          <w:sz w:val="24"/>
          <w:szCs w:val="24"/>
        </w:rPr>
      </w:pPr>
      <w:r w:rsidRPr="00373506">
        <w:rPr>
          <w:rFonts w:ascii="Times New Roman" w:hAnsi="Times New Roman" w:cs="Times New Roman"/>
          <w:sz w:val="24"/>
          <w:szCs w:val="24"/>
        </w:rPr>
        <w:t xml:space="preserve">O conceito de sucesso de um projeto é desenvolvido para estabelecer critérios e normas pelas quais os gestores do projeto possam completá-los de forma a obter resultados favoráveis. No entanto, este conceito tem-se mantido ambiguamente definido entre os profissionais da construção. Muitos gestores de projetos ainda observam esse tema de forma intuitiva e por conta própria tentam controlar e alocar recursos entre várias áreas de projeto </w:t>
      </w:r>
      <w:r w:rsidR="005E03C0">
        <w:rPr>
          <w:rFonts w:ascii="Times New Roman" w:hAnsi="Times New Roman" w:cs="Times New Roman"/>
          <w:sz w:val="24"/>
          <w:szCs w:val="24"/>
        </w:rPr>
        <w:fldChar w:fldCharType="begin" w:fldLock="1"/>
      </w:r>
      <w:r w:rsidR="005E03C0">
        <w:rPr>
          <w:rFonts w:ascii="Times New Roman" w:hAnsi="Times New Roman" w:cs="Times New Roman"/>
          <w:sz w:val="24"/>
          <w:szCs w:val="24"/>
        </w:rPr>
        <w:instrText>ADDIN CSL_CITATION {"citationItems":[{"id":"ITEM-1","itemData":{"author":[{"dropping-particle":"","family":"Freeman","given":"Mark","non-dropping-particle":"","parse-names":false,"suffix":""},{"dropping-particle":"","family":"Beale","given":"Peter","non-dropping-particle":"","parse-names":false,"suffix":""}],"container-title":"Project Management Journal","id":"ITEM-1","issue":"1","issued":{"date-parts":[["1992"]]},"page":"8-17","title":"Measuring project success","type":"article-journal","volume":"23"},"uris":["http://www.mendeley.com/documents/?uuid=c610595c-8d67-42c8-b995-2c96f6095f75"]}],"mendeley":{"formattedCitation":"(FREEMAN; BEALE, 1992)","plainTextFormattedCitation":"(FREEMAN; BEALE, 1992)","previouslyFormattedCitation":"(FREEMAN; BEALE, 1992)"},"properties":{"noteIndex":0},"schema":"https://github.com/citation-style-language/schema/raw/master/csl-citation.json"}</w:instrText>
      </w:r>
      <w:r w:rsidR="005E03C0">
        <w:rPr>
          <w:rFonts w:ascii="Times New Roman" w:hAnsi="Times New Roman" w:cs="Times New Roman"/>
          <w:sz w:val="24"/>
          <w:szCs w:val="24"/>
        </w:rPr>
        <w:fldChar w:fldCharType="separate"/>
      </w:r>
      <w:r w:rsidR="005E03C0" w:rsidRPr="005E03C0">
        <w:rPr>
          <w:rFonts w:ascii="Times New Roman" w:hAnsi="Times New Roman" w:cs="Times New Roman"/>
          <w:noProof/>
          <w:sz w:val="24"/>
          <w:szCs w:val="24"/>
        </w:rPr>
        <w:t>(FREEMAN; BEALE, 1992)</w:t>
      </w:r>
      <w:r w:rsidR="005E03C0">
        <w:rPr>
          <w:rFonts w:ascii="Times New Roman" w:hAnsi="Times New Roman" w:cs="Times New Roman"/>
          <w:sz w:val="24"/>
          <w:szCs w:val="24"/>
        </w:rPr>
        <w:fldChar w:fldCharType="end"/>
      </w:r>
      <w:r w:rsidRPr="00373506">
        <w:rPr>
          <w:rFonts w:ascii="Times New Roman" w:hAnsi="Times New Roman" w:cs="Times New Roman"/>
          <w:sz w:val="24"/>
          <w:szCs w:val="24"/>
        </w:rPr>
        <w:t>.</w:t>
      </w:r>
    </w:p>
    <w:p w14:paraId="5264CBC4" w14:textId="16B46F0C" w:rsidR="00373506" w:rsidRPr="00373506" w:rsidRDefault="00373506" w:rsidP="00373506">
      <w:pPr>
        <w:rPr>
          <w:rFonts w:ascii="Times New Roman" w:hAnsi="Times New Roman" w:cs="Times New Roman"/>
          <w:sz w:val="24"/>
          <w:szCs w:val="24"/>
        </w:rPr>
      </w:pPr>
      <w:r w:rsidRPr="00373506">
        <w:rPr>
          <w:rFonts w:ascii="Times New Roman" w:hAnsi="Times New Roman" w:cs="Times New Roman"/>
          <w:sz w:val="24"/>
          <w:szCs w:val="24"/>
        </w:rPr>
        <w:t xml:space="preserve">No estudo de </w:t>
      </w:r>
      <w:r w:rsidR="005E03C0">
        <w:rPr>
          <w:rFonts w:ascii="Times New Roman" w:hAnsi="Times New Roman" w:cs="Times New Roman"/>
          <w:sz w:val="24"/>
          <w:szCs w:val="24"/>
        </w:rPr>
        <w:fldChar w:fldCharType="begin" w:fldLock="1"/>
      </w:r>
      <w:r w:rsidR="005E03C0">
        <w:rPr>
          <w:rFonts w:ascii="Times New Roman" w:hAnsi="Times New Roman" w:cs="Times New Roman"/>
          <w:sz w:val="24"/>
          <w:szCs w:val="24"/>
        </w:rPr>
        <w:instrText>ADDIN CSL_CITATION {"citationItems":[{"id":"ITEM-1","itemData":{"DOI":"10.1061/(asce)up.1943-5444.0000472","ISSN":"0733-9488","abstract":"© 2018 American Society of Civil Engineers. The development of public construction megaprojects in China has been booming during the last decade, and projects of this type are expected to achieve sustainability economically, socially, and environmentally. Despite this, their social sustainability level is relatively low and is yet to be improved. A potentially important reason is the lack of a comprehensive evaluation mechanism to determine if public megaprojects are socially sustainable in the Chinese context. As a prelude to the development of such a mechanism, this paper provides a thorough and comprehensive analysis of the various social sustainability indicators (SSIs) involved from a multistakeholder perspective. Different research methods (e.g., literature review and questionnaire survey) are adopted to collect the relevant information, both locally and internationally. The data are then analyzed with various statistical techniques in terms of mean score ranking, tests of Kendall's coefficient of concordance, Spearman's rank correlation, and factor analysis. The results uncover six sets of SSIs: improved quality of daily life, appropriate macropolicies, harmonious connections with the surroundings, unique local identity, effective public participation, and others. The work is validated by interviews, and the comments raised by the interviewees are reported. The research findings are expected to benefit both the government and the construction industry at large for better addressing social concerns when delivering public megaprojects in China.","author":[{"dropping-particle":"","family":"Li","given":"Hongyang","non-dropping-particle":"","parse-names":false,"suffix":""},{"dropping-particle":"","family":"Zhang","given":"Xiaoling","non-dropping-particle":"","parse-names":false,"suffix":""},{"dropping-particle":"","family":"Ng","given":"S. Thomas","non-dropping-particle":"","parse-names":false,"suffix":""},{"dropping-particle":"","family":"Skitmore","given":"Martin","non-dropping-particle":"","parse-names":false,"suffix":""},{"dropping-particle":"","family":"Dong","given":"Ya Hong","non-dropping-particle":"","parse-names":false,"suffix":""}],"container-title":"Journal of Urban Planning and Development","id":"ITEM-1","issue":"4","issued":{"date-parts":[["2019"]]},"page":"04018034","title":"Social Sustainability Indicators of Public Construction Megaprojects in China","type":"article-journal","volume":"144"},"uris":["http://www.mendeley.com/documents/?uuid=eb63f20c-a20a-46d0-8a63-888db46f8df3"]}],"mendeley":{"formattedCitation":"(LI et al., 2019)","manualFormatting":"Li et al. (2019)","plainTextFormattedCitation":"(LI et al., 2019)","previouslyFormattedCitation":"(LI et al., 2019)"},"properties":{"noteIndex":0},"schema":"https://github.com/citation-style-language/schema/raw/master/csl-citation.json"}</w:instrText>
      </w:r>
      <w:r w:rsidR="005E03C0">
        <w:rPr>
          <w:rFonts w:ascii="Times New Roman" w:hAnsi="Times New Roman" w:cs="Times New Roman"/>
          <w:sz w:val="24"/>
          <w:szCs w:val="24"/>
        </w:rPr>
        <w:fldChar w:fldCharType="separate"/>
      </w:r>
      <w:r w:rsidR="005E03C0" w:rsidRPr="005E03C0">
        <w:rPr>
          <w:rFonts w:ascii="Times New Roman" w:hAnsi="Times New Roman" w:cs="Times New Roman"/>
          <w:noProof/>
          <w:sz w:val="24"/>
          <w:szCs w:val="24"/>
        </w:rPr>
        <w:t>Li</w:t>
      </w:r>
      <w:r w:rsidR="005E03C0">
        <w:rPr>
          <w:rFonts w:ascii="Times New Roman" w:hAnsi="Times New Roman" w:cs="Times New Roman"/>
          <w:noProof/>
          <w:sz w:val="24"/>
          <w:szCs w:val="24"/>
        </w:rPr>
        <w:t xml:space="preserve"> et al.</w:t>
      </w:r>
      <w:r w:rsidR="005E03C0" w:rsidRPr="005E03C0">
        <w:rPr>
          <w:rFonts w:ascii="Times New Roman" w:hAnsi="Times New Roman" w:cs="Times New Roman"/>
          <w:noProof/>
          <w:sz w:val="24"/>
          <w:szCs w:val="24"/>
        </w:rPr>
        <w:t xml:space="preserve"> </w:t>
      </w:r>
      <w:r w:rsidR="005E03C0">
        <w:rPr>
          <w:rFonts w:ascii="Times New Roman" w:hAnsi="Times New Roman" w:cs="Times New Roman"/>
          <w:noProof/>
          <w:sz w:val="24"/>
          <w:szCs w:val="24"/>
        </w:rPr>
        <w:t>(</w:t>
      </w:r>
      <w:r w:rsidR="005E03C0" w:rsidRPr="005E03C0">
        <w:rPr>
          <w:rFonts w:ascii="Times New Roman" w:hAnsi="Times New Roman" w:cs="Times New Roman"/>
          <w:noProof/>
          <w:sz w:val="24"/>
          <w:szCs w:val="24"/>
        </w:rPr>
        <w:t>2019)</w:t>
      </w:r>
      <w:r w:rsidR="005E03C0">
        <w:rPr>
          <w:rFonts w:ascii="Times New Roman" w:hAnsi="Times New Roman" w:cs="Times New Roman"/>
          <w:sz w:val="24"/>
          <w:szCs w:val="24"/>
        </w:rPr>
        <w:fldChar w:fldCharType="end"/>
      </w:r>
      <w:r w:rsidRPr="00373506">
        <w:rPr>
          <w:rFonts w:ascii="Times New Roman" w:hAnsi="Times New Roman" w:cs="Times New Roman"/>
          <w:sz w:val="24"/>
          <w:szCs w:val="24"/>
        </w:rPr>
        <w:t xml:space="preserve">, os autores questionam a intenção original da construção de megaprojetos públicos justamente pela relativo baixo nível de sustentabilidade social encontrado. </w:t>
      </w:r>
    </w:p>
    <w:p w14:paraId="2A669E79" w14:textId="324E66D6" w:rsidR="004F1878" w:rsidRDefault="004F1878" w:rsidP="004F1878">
      <w:pPr>
        <w:rPr>
          <w:rFonts w:ascii="Times New Roman" w:hAnsi="Times New Roman" w:cs="Times New Roman"/>
          <w:sz w:val="24"/>
          <w:szCs w:val="24"/>
        </w:rPr>
      </w:pPr>
      <w:r w:rsidRPr="004F1878">
        <w:rPr>
          <w:rFonts w:ascii="Times New Roman" w:hAnsi="Times New Roman" w:cs="Times New Roman"/>
          <w:sz w:val="24"/>
          <w:szCs w:val="24"/>
        </w:rPr>
        <w:t>No panorama regional, não foi encontrada nenhuma divulgação acerca do desempenho social das construtoras de origem da Região Metropolitana de Recife (RMR), seja através dos relatórios anuais de sustentabilidade, ou qualquer outro meio. Sendo assim, este trabalho se mostra de grande importância para expor a situação atual de como aspecto social é levado em consideração por essas empresas, servindo de base para tomadas de decisões futuras, que passem a incluir, de maneira mais eficiente, esse aspecto.</w:t>
      </w:r>
    </w:p>
    <w:p w14:paraId="1F92347C" w14:textId="46F4293A" w:rsidR="00F23C2A" w:rsidRDefault="00F23C2A" w:rsidP="00373506">
      <w:pPr>
        <w:rPr>
          <w:rFonts w:ascii="Times New Roman" w:hAnsi="Times New Roman" w:cs="Times New Roman"/>
          <w:sz w:val="24"/>
          <w:szCs w:val="24"/>
        </w:rPr>
      </w:pPr>
    </w:p>
    <w:p w14:paraId="1FDE680B" w14:textId="6A7428B8" w:rsidR="00F23C2A" w:rsidRPr="00F23C2A" w:rsidRDefault="00F23C2A" w:rsidP="00373506">
      <w:pPr>
        <w:rPr>
          <w:rFonts w:ascii="Times New Roman" w:hAnsi="Times New Roman" w:cs="Times New Roman"/>
          <w:b/>
          <w:sz w:val="24"/>
          <w:szCs w:val="24"/>
        </w:rPr>
      </w:pPr>
      <w:r w:rsidRPr="00F23C2A">
        <w:rPr>
          <w:rFonts w:ascii="Times New Roman" w:hAnsi="Times New Roman" w:cs="Times New Roman"/>
          <w:b/>
          <w:sz w:val="24"/>
          <w:szCs w:val="24"/>
        </w:rPr>
        <w:t>GLOBAL REPORTING INITIATIVE</w:t>
      </w:r>
    </w:p>
    <w:p w14:paraId="2049D1DD" w14:textId="35192166" w:rsidR="00F23C2A" w:rsidRDefault="00D22D69" w:rsidP="00373506">
      <w:pPr>
        <w:rPr>
          <w:rFonts w:ascii="Times New Roman" w:hAnsi="Times New Roman" w:cs="Times New Roman"/>
          <w:sz w:val="24"/>
          <w:szCs w:val="24"/>
        </w:rPr>
      </w:pPr>
      <w:r w:rsidRPr="00D22D69">
        <w:rPr>
          <w:rFonts w:ascii="Times New Roman" w:hAnsi="Times New Roman" w:cs="Times New Roman"/>
          <w:sz w:val="24"/>
          <w:szCs w:val="24"/>
        </w:rPr>
        <w:t>A</w:t>
      </w:r>
      <w:r>
        <w:rPr>
          <w:rFonts w:ascii="Times New Roman" w:hAnsi="Times New Roman" w:cs="Times New Roman"/>
          <w:sz w:val="24"/>
          <w:szCs w:val="24"/>
        </w:rPr>
        <w:t xml:space="preserve"> </w:t>
      </w:r>
      <w:r w:rsidRPr="00F23C2A">
        <w:rPr>
          <w:rFonts w:ascii="Times New Roman" w:hAnsi="Times New Roman" w:cs="Times New Roman"/>
          <w:i/>
          <w:sz w:val="24"/>
          <w:szCs w:val="24"/>
        </w:rPr>
        <w:t>Global Reporting Initiative</w:t>
      </w:r>
      <w:r w:rsidRPr="00D22D69">
        <w:rPr>
          <w:rFonts w:ascii="Times New Roman" w:hAnsi="Times New Roman" w:cs="Times New Roman"/>
          <w:sz w:val="24"/>
          <w:szCs w:val="24"/>
        </w:rPr>
        <w:t xml:space="preserve"> </w:t>
      </w:r>
      <w:r>
        <w:rPr>
          <w:rFonts w:ascii="Times New Roman" w:hAnsi="Times New Roman" w:cs="Times New Roman"/>
          <w:sz w:val="24"/>
          <w:szCs w:val="24"/>
        </w:rPr>
        <w:t>(</w:t>
      </w:r>
      <w:r w:rsidRPr="00D22D69">
        <w:rPr>
          <w:rFonts w:ascii="Times New Roman" w:hAnsi="Times New Roman" w:cs="Times New Roman"/>
          <w:sz w:val="24"/>
          <w:szCs w:val="24"/>
        </w:rPr>
        <w:t>GRI</w:t>
      </w:r>
      <w:r>
        <w:rPr>
          <w:rFonts w:ascii="Times New Roman" w:hAnsi="Times New Roman" w:cs="Times New Roman"/>
          <w:sz w:val="24"/>
          <w:szCs w:val="24"/>
        </w:rPr>
        <w:t>)</w:t>
      </w:r>
      <w:r w:rsidRPr="00D22D69">
        <w:rPr>
          <w:rFonts w:ascii="Times New Roman" w:hAnsi="Times New Roman" w:cs="Times New Roman"/>
          <w:sz w:val="24"/>
          <w:szCs w:val="24"/>
        </w:rPr>
        <w:t xml:space="preserve"> é uma organização não governamental internacional, cuja missão é desenvolver e disseminar globalmente diretrizes para a elaboração de relatórios de sustentabilidade utilizadas voluntariamente por empresas do mundo todo. </w:t>
      </w:r>
      <w:r w:rsidRPr="00D22D69">
        <w:rPr>
          <w:rFonts w:ascii="Times New Roman" w:hAnsi="Times New Roman" w:cs="Times New Roman"/>
          <w:sz w:val="24"/>
          <w:szCs w:val="24"/>
        </w:rPr>
        <w:lastRenderedPageBreak/>
        <w:t xml:space="preserve">Essa organização tem focado suas atividades no desenvolvimento de um padrão de relatório que aborde os aspectos relacionados à sustentabilidade econômica, social e ambiental das organizações </w:t>
      </w:r>
      <w:r w:rsidR="00734DCA">
        <w:rPr>
          <w:rFonts w:ascii="Times New Roman" w:hAnsi="Times New Roman" w:cs="Times New Roman"/>
          <w:sz w:val="24"/>
          <w:szCs w:val="24"/>
        </w:rPr>
        <w:fldChar w:fldCharType="begin" w:fldLock="1"/>
      </w:r>
      <w:r w:rsidR="00734DCA">
        <w:rPr>
          <w:rFonts w:ascii="Times New Roman" w:hAnsi="Times New Roman" w:cs="Times New Roman"/>
          <w:sz w:val="24"/>
          <w:szCs w:val="24"/>
        </w:rPr>
        <w:instrText>ADDIN CSL_CITATION {"citationItems":[{"id":"ITEM-1","itemData":{"abstract":"Manual for the preparation of sustainability reports by organizations, regardless of their size, sector or location. The Guidelines also offer an international reference for all those interested in the disclosure of governance approach and of the environmental, social and economicI performance and impactsII of organizations. The Guidelines are useful in the preparation of any type of document which requires such disclosure. The","author":[{"dropping-particle":"","family":"GRI","given":"","non-dropping-particle":"","parse-names":false,"suffix":""}],"container-title":"Global Reporting Initiative","id":"ITEM-1","issued":{"date-parts":[["2014"]]},"title":"G4 Sustainability Reporting Guidelines - Reporting Principles and Standard Disclosures","type":"article-journal"},"uris":["http://www.mendeley.com/documents/?uuid=22b5807d-4904-4a1b-ba22-faf3bce744cd"]}],"mendeley":{"formattedCitation":"(GRI, 2014)","plainTextFormattedCitation":"(GRI, 2014)","previouslyFormattedCitation":"(GRI, 2014)"},"properties":{"noteIndex":0},"schema":"https://github.com/citation-style-language/schema/raw/master/csl-citation.json"}</w:instrText>
      </w:r>
      <w:r w:rsidR="00734DCA">
        <w:rPr>
          <w:rFonts w:ascii="Times New Roman" w:hAnsi="Times New Roman" w:cs="Times New Roman"/>
          <w:sz w:val="24"/>
          <w:szCs w:val="24"/>
        </w:rPr>
        <w:fldChar w:fldCharType="separate"/>
      </w:r>
      <w:r w:rsidR="00734DCA" w:rsidRPr="00734DCA">
        <w:rPr>
          <w:rFonts w:ascii="Times New Roman" w:hAnsi="Times New Roman" w:cs="Times New Roman"/>
          <w:noProof/>
          <w:sz w:val="24"/>
          <w:szCs w:val="24"/>
        </w:rPr>
        <w:t>(GRI, 2014)</w:t>
      </w:r>
      <w:r w:rsidR="00734DCA">
        <w:rPr>
          <w:rFonts w:ascii="Times New Roman" w:hAnsi="Times New Roman" w:cs="Times New Roman"/>
          <w:sz w:val="24"/>
          <w:szCs w:val="24"/>
        </w:rPr>
        <w:fldChar w:fldCharType="end"/>
      </w:r>
      <w:r w:rsidRPr="00D22D69">
        <w:rPr>
          <w:rFonts w:ascii="Times New Roman" w:hAnsi="Times New Roman" w:cs="Times New Roman"/>
          <w:sz w:val="24"/>
          <w:szCs w:val="24"/>
        </w:rPr>
        <w:t>.</w:t>
      </w:r>
    </w:p>
    <w:p w14:paraId="7757974B" w14:textId="066043F3" w:rsidR="00D22D69" w:rsidRDefault="00D22D69" w:rsidP="00D22D69">
      <w:pPr>
        <w:rPr>
          <w:rFonts w:ascii="Times New Roman" w:hAnsi="Times New Roman" w:cs="Times New Roman"/>
          <w:sz w:val="24"/>
          <w:szCs w:val="24"/>
        </w:rPr>
      </w:pPr>
      <w:r>
        <w:rPr>
          <w:rFonts w:ascii="Times New Roman" w:hAnsi="Times New Roman" w:cs="Times New Roman"/>
          <w:sz w:val="24"/>
          <w:szCs w:val="24"/>
        </w:rPr>
        <w:t xml:space="preserve">Diante da grande variedade de estudos desenvolvidos acerca da sustentabilidade social, a </w:t>
      </w:r>
      <w:r w:rsidRPr="00D22D69">
        <w:rPr>
          <w:rFonts w:ascii="Times New Roman" w:hAnsi="Times New Roman" w:cs="Times New Roman"/>
          <w:i/>
          <w:sz w:val="24"/>
          <w:szCs w:val="24"/>
        </w:rPr>
        <w:t>Global Reporting Initiative</w:t>
      </w:r>
      <w:r>
        <w:rPr>
          <w:rFonts w:ascii="Times New Roman" w:hAnsi="Times New Roman" w:cs="Times New Roman"/>
          <w:sz w:val="24"/>
          <w:szCs w:val="24"/>
        </w:rPr>
        <w:t xml:space="preserve"> conseguiu aglomerar em suas diretrizes para elaboração de relatórios sustentáveis a ampla gama dos stakeholders envolvidos nos processos empresariais.</w:t>
      </w:r>
      <w:r w:rsidR="00D22EFF">
        <w:rPr>
          <w:rFonts w:ascii="Times New Roman" w:hAnsi="Times New Roman" w:cs="Times New Roman"/>
          <w:sz w:val="24"/>
          <w:szCs w:val="24"/>
        </w:rPr>
        <w:t xml:space="preserve"> Sendo assim, esses indicadores foram selecionados para teste de aplicabilidade nas construtoras locais.</w:t>
      </w:r>
    </w:p>
    <w:p w14:paraId="31E08E10" w14:textId="47032134" w:rsidR="00D22D69" w:rsidRPr="00D22D69" w:rsidRDefault="00D22D69" w:rsidP="00D22D69">
      <w:pPr>
        <w:rPr>
          <w:rFonts w:ascii="Times New Roman" w:hAnsi="Times New Roman" w:cs="Times New Roman"/>
          <w:sz w:val="24"/>
          <w:szCs w:val="24"/>
        </w:rPr>
      </w:pPr>
      <w:r w:rsidRPr="00D22D69">
        <w:rPr>
          <w:rFonts w:ascii="Times New Roman" w:hAnsi="Times New Roman" w:cs="Times New Roman"/>
          <w:sz w:val="24"/>
          <w:szCs w:val="24"/>
        </w:rPr>
        <w:t xml:space="preserve">Os aspectos da sustentabilidade social dos Padrões GRI estão subdivididos em 19 tópicos diferentes, totalizando 40 indicadores, de acordo com a </w:t>
      </w:r>
      <w:r w:rsidRPr="00D22D69">
        <w:rPr>
          <w:rFonts w:ascii="Times New Roman" w:hAnsi="Times New Roman" w:cs="Times New Roman"/>
          <w:sz w:val="24"/>
          <w:szCs w:val="24"/>
        </w:rPr>
        <w:fldChar w:fldCharType="begin"/>
      </w:r>
      <w:r w:rsidRPr="00D22D69">
        <w:rPr>
          <w:rFonts w:ascii="Times New Roman" w:hAnsi="Times New Roman" w:cs="Times New Roman"/>
          <w:sz w:val="24"/>
          <w:szCs w:val="24"/>
        </w:rPr>
        <w:instrText xml:space="preserve"> REF _Ref14103111 \h  \* MERGEFORMAT </w:instrText>
      </w:r>
      <w:r w:rsidRPr="00D22D69">
        <w:rPr>
          <w:rFonts w:ascii="Times New Roman" w:hAnsi="Times New Roman" w:cs="Times New Roman"/>
          <w:sz w:val="24"/>
          <w:szCs w:val="24"/>
        </w:rPr>
      </w:r>
      <w:r w:rsidRPr="00D22D69">
        <w:rPr>
          <w:rFonts w:ascii="Times New Roman" w:hAnsi="Times New Roman" w:cs="Times New Roman"/>
          <w:sz w:val="24"/>
          <w:szCs w:val="24"/>
        </w:rPr>
        <w:fldChar w:fldCharType="separate"/>
      </w:r>
      <w:r w:rsidRPr="00D22D69">
        <w:rPr>
          <w:rFonts w:ascii="Times New Roman" w:hAnsi="Times New Roman" w:cs="Times New Roman"/>
          <w:sz w:val="24"/>
          <w:szCs w:val="24"/>
        </w:rPr>
        <w:t xml:space="preserve">Tabela </w:t>
      </w:r>
      <w:r w:rsidRPr="00D22D69">
        <w:rPr>
          <w:rFonts w:ascii="Times New Roman" w:hAnsi="Times New Roman" w:cs="Times New Roman"/>
          <w:noProof/>
          <w:sz w:val="24"/>
          <w:szCs w:val="24"/>
        </w:rPr>
        <w:t>1</w:t>
      </w:r>
      <w:r w:rsidRPr="00D22D69">
        <w:rPr>
          <w:rFonts w:ascii="Times New Roman" w:hAnsi="Times New Roman" w:cs="Times New Roman"/>
          <w:sz w:val="24"/>
          <w:szCs w:val="24"/>
        </w:rPr>
        <w:fldChar w:fldCharType="end"/>
      </w:r>
      <w:r w:rsidRPr="00D22D69">
        <w:rPr>
          <w:rFonts w:ascii="Times New Roman" w:hAnsi="Times New Roman" w:cs="Times New Roman"/>
          <w:sz w:val="24"/>
          <w:szCs w:val="24"/>
        </w:rPr>
        <w:t xml:space="preserve"> </w:t>
      </w:r>
      <w:r w:rsidRPr="00D22D69">
        <w:rPr>
          <w:rFonts w:ascii="Times New Roman" w:hAnsi="Times New Roman" w:cs="Times New Roman"/>
          <w:sz w:val="24"/>
          <w:szCs w:val="24"/>
        </w:rPr>
        <w:fldChar w:fldCharType="begin" w:fldLock="1"/>
      </w:r>
      <w:r w:rsidR="00734DCA">
        <w:rPr>
          <w:rFonts w:ascii="Times New Roman" w:hAnsi="Times New Roman" w:cs="Times New Roman"/>
          <w:sz w:val="24"/>
          <w:szCs w:val="24"/>
        </w:rPr>
        <w:instrText>ADDIN CSL_CITATION {"citationItems":[{"id":"ITEM-1","itemData":{"ISBN":"9781921114069","abstract":"Zero Waste SA, established by the Zero Waste SA Act 2004, provides strategic policy advice and direction to government and stakeholders. It undertakes programs and projects that maximise waste reduction and promote recycling and sustainability. It engages with the community, business and government, building partnerships for change.","author":[{"dropping-particle":"","family":"Global Reporting Initiative","given":"","non-dropping-particle":"","parse-names":false,"suffix":""}],"container-title":"GRI Standards","id":"ITEM-1","issued":{"date-parts":[["2016"]]},"title":"GRI 401: Employment","type":"article-journal"},"uris":["http://www.mendeley.com/documents/?uuid=1af1e825-9399-428b-82e0-779b459e78f4"]},{"id":"ITEM-2","itemData":{"author":[{"dropping-particle":"","family":"Global Reporting Initiative","given":"","non-dropping-particle":"","parse-names":false,"suffix":""}],"id":"ITEM-2","issued":{"date-parts":[["2018"]]},"page":"1-8","title":"GRI 402: Labor/Management Relations","type":"article-journal"},"uris":["http://www.mendeley.com/documents/?uuid=190a3a93-71e4-4349-8d89-d556665815a2"]},{"id":"ITEM-3","itemData":{"author":[{"dropping-particle":"","family":"Global Reporting Initiative","given":"","non-dropping-particle":"","parse-names":false,"suffix":""}],"id":"ITEM-3","issued":{"date-parts":[["2018"]]},"title":"GRI 403: Occupational health and safety","type":"article-journal"},"uris":["http://www.mendeley.com/documents/?uuid=24884da0-d1ad-4fc4-937d-d690f4c4ed6c"]},{"id":"ITEM-4","itemData":{"ISBN":"978-90-8866-056-6","abstract":"This document is the Foundation section of the GRI G4 Standard","author":[{"dropping-particle":"","family":"Global Reporting Initiative","given":"","non-dropping-particle":"","parse-names":false,"suffix":""}],"container-title":"GRI Global","id":"ITEM-4","issue":"1","issued":{"date-parts":[["2016"]]},"page":"13","title":"GRI 404: Training and education","type":"article-journal","volume":"GRI101"},"uris":["http://www.mendeley.com/documents/?uuid=bc231cff-cf66-4dbd-a6fe-a0be523cef33"]},{"id":"ITEM-5","itemData":{"author":[{"dropping-particle":"","family":"Global Reporting Initiative","given":"","non-dropping-particle":"","parse-names":false,"suffix":""}],"container-title":"GRI Standards","id":"ITEM-5","issued":{"date-parts":[["2016"]]},"title":"GRI 405: Diversity and equal opportunity","type":"article-journal"},"uris":["http://www.mendeley.com/documents/?uuid=786bdd60-06e3-4485-ac82-b5160139d8c8"]},{"id":"ITEM-6","itemData":{"author":[{"dropping-particle":"","family":"Global Reporting Initiative","given":"","non-dropping-particle":"","parse-names":false,"suffix":""}],"id":"ITEM-6","issued":{"date-parts":[["2016"]]},"title":"GRI 406: No discrimination","type":"article-journal"},"uris":["http://www.mendeley.com/documents/?uuid=be0f9be9-f83e-4291-b8bb-6067cf848f9b"]},{"id":"ITEM-7","itemData":{"author":[{"dropping-particle":"","family":"Global Reporting Initiative","given":"","non-dropping-particle":"","parse-names":false,"suffix":""}],"container-title":"GRI Standards","id":"ITEM-7","issued":{"date-parts":[["2016"]]},"title":"GRI 407: Freedom of association and collective bargaining","type":"article-journal"},"uris":["http://www.mendeley.com/documents/?uuid=7ec762a3-95c4-40d9-89d3-6854485a7b5a"]},{"id":"ITEM-8","itemData":{"author":[{"dropping-particle":"","family":"Global Reporting Initiative","given":"","non-dropping-particle":"","parse-names":false,"suffix":""}],"container-title":"GRI Standards","id":"ITEM-8","issued":{"date-parts":[["2016"]]},"title":"GRI 408: Child labor","type":"article-journal"},"uris":["http://www.mendeley.com/documents/?uuid=d009d84e-858e-45a7-9bb6-274b35c86d6b"]},{"id":"ITEM-9","itemData":{"author":[{"dropping-particle":"","family":"Global Reporting Initiative","given":"","non-dropping-particle":"","parse-names":false,"suffix":""}],"container-title":"GRI Standards","id":"ITEM-9","issued":{"date-parts":[["2016"]]},"title":"GRI 409: Forced or compulsory labor","type":"article-journal"},"uris":["http://www.mendeley.com/documents/?uuid=66e1f273-fe26-41d1-a1d5-21955cb6014f"]},{"id":"ITEM-10","itemData":{"DOI":"10.2307/249597","ISBN":"02767783","ISSN":"02767783","PMID":"9512120051","abstract":"This longitudinal field study (three work sessions plus an initial training session) investigates the efficacy of a new technology-desktop video-conferencing (DVC)-in support of collaborative telelearning (i.e., collaborative learning among non-proximate team members). Two types of collaborative telelearning environments are considered: One involves local groups (i.e., students on the same campus), and the other involves non-proximate distant groups (i.e., students on two separate campuses). The collaborative telelearning environments are compared to each other and to a traditional face-to-face collaborative learning environment. The study found that the three environments are equally effective in terms of student knowledge acquisition; however, higher critical-thinking skills were found in the distant DVC environment. The subjects in the three learning environments were equally satisfied with their learning process and outcomes. At the conclusion of the longitudinal assessment, the distant students using DVC were more committed and attracted to their groups compared to local students who worked face-to-face or through DVC.","author":[{"dropping-particle":"","family":"Global Reporting Initiative","given":"","non-dropping-particle":"","parse-names":false,"suffix":""}],"container-title":"GRI Global","id":"ITEM-10","issued":{"date-parts":[["2016"]]},"title":"GRI 410: Security practices","type":"article-journal"},"uris":["http://www.mendeley.com/documents/?uuid=d1ce89a9-680c-4201-9d03-c839a4731dd4"]},{"id":"ITEM-11","itemData":{"author":[{"dropping-particle":"","family":"Global Reporting Initiative","given":"","non-dropping-particle":"","parse-names":false,"suffix":""}],"container-title":"GRI Global","id":"ITEM-11","issued":{"date-parts":[["2016"]]},"title":"GRI 411: Rights of indigenous peoples","type":"article-journal"},"uris":["http://www.mendeley.com/documents/?uuid=109f14ae-0ae0-478a-b452-60db8efd82d3"]},{"id":"ITEM-12","itemData":{"author":[{"dropping-particle":"","family":"Global Reporting Initiative","given":"","non-dropping-particle":"","parse-names":false,"suffix":""}],"container-title":"GRI Standards","id":"ITEM-12","issued":{"date-parts":[["2016"]]},"title":"GRI 412: Human rights assessment","type":"article-journal"},"uris":["http://www.mendeley.com/documents/?uuid=6e46478c-6633-44d1-bdc9-ff7e927e3fb2"]},{"id":"ITEM-13","itemData":{"author":[{"dropping-particle":"","family":"Global Reporting Initiative","given":"","non-dropping-particle":"","parse-names":false,"suffix":""}],"id":"ITEM-13","issued":{"date-parts":[["2016"]]},"title":"GRI 413: Local communities","type":"article-journal"},"uris":["http://www.mendeley.com/documents/?uuid=163c69d3-c0da-4a05-8f0a-38e804eddb8e"]},{"id":"ITEM-14","itemData":{"author":[{"dropping-particle":"","family":"Global Reporting Initiative","given":"","non-dropping-particle":"","parse-names":false,"suffix":""}],"container-title":"GRI Standards","id":"ITEM-14","issued":{"date-parts":[["2016"]]},"title":"GRI 414: Supplier social assessment","type":"article-journal"},"uris":["http://www.mendeley.com/documents/?uuid=5a09291d-2832-4193-bd18-c6535129d13a"]},{"id":"ITEM-15","itemData":{"DOI":"10.1590/S0104-42302000000300014","ISSN":"0104-4230","abstract":"UNITERMOS: Câncer em crianças. Qualidade de vida. Efei-tos tardios. Segunda neoplasia. KEY WORDS: Childhood cancer. Quality of life. Late effects. Second malignant neoplasm. INTRODUÇÃO Até a década de 70 a grande maioria das crian-ças portadoras de neoplasia faleciam. O objetivo do tratamento da época era alcançar a cura a qualquer preço. A maioria dos efeitos tardios não eram conhecidos, pois o período de observação pós tratamento era pequeno e parte destes efeitos não eram ainda encontrados ou descritos na literatu-ra. Nos países desenvolvidos, a filosofia de trata-mento era semelhante e os pacientes curados ti-nham pouco tempo de observação . Com o aumento da taxa de sobreviventes cada vez maior, somos levados a acompanhar esses pacientes curados por vários anos. Tem-se obser-vado o impacto dos efeitos tardios relacionados ao tratamento na qualidade de vida destes adultos jovens. Dados obtidos na literatura vêm nos mos-trando que no ano 2000, um em cada 1000 adultos na sua terceira década de vida será um sobrevi-vente de um câncer pediátrico 11 . As consultas clínicas efetuadas após o término do tratamento têm como finalidade confirmar que o paciente continua em remissão de sua doença, assim como avaliar as toxicidades relacionadas ao tratamento. Testes de avaliação dos efeitos tardios incluem exame físico ou laboratorial para análise dos órgãos ou sistemas : cérebro, coração, pulmões, tireóide, gônadas, medula óssea, ossos e tecidos de partes moles (músculos, cartilagens, entre ou-tros), e testes psicológicos (avaliação cognitiva, aprendizado, emocional). Os efeitos tardios do tratamento podem se manifestar mais precocemente ou a longo prazo, dependendo do tratamento utilizado e da idade da criança ao ser exposta ao tratamento. Por exemplo, muitos dos efeitos ligados à radiotera-pia tais como os endocrinológicos (crescimento, hipotiroidismo, entre outros), podem não ser manifestados nos primeiros anos após o término do tratamento. Alguns efeitos provocados pela quimioterapia podem também se manifestar mais tardiamente como por exemplo insuficiência re-nal, cardiomiopatia, perda de audição, etc. (Ta-belas 1,2 e 3). Nos Estados Unidos foi criado um grupo para estudo dos efeitos tardios denominado \" Late Ef-fects Study Group \" , no qual pediatras oncologistas e outros especialistas, através de estudos científi-cos, passaram a estudar as experiências encontra-das com os pacientes curados e as relações encon-tradas entre os tipos de tratamentos propostos…","author":[{"dropping-particle":"","family":"Global Reporting Initiative","given":"","non-dropping-particle":"","parse-names":false,"suffix":""}],"container-title":"GRI Standards","id":"ITEM-15","issued":{"date-parts":[["2016"]]},"title":"GRI 415: Public policy","type":"article-journal"},"uris":["http://www.mendeley.com/documents/?uuid=554b10b5-5c23-46b3-b25b-f6141403421f"]},{"id":"ITEM-16","itemData":{"author":[{"dropping-particle":"","family":"Global Reporting Initiative","given":"","non-dropping-particle":"","parse-names":false,"suffix":""}],"container-title":"GRI Standards","id":"ITEM-16","issued":{"date-parts":[["2016"]]},"title":"GRI 416: Customer health and safety","type":"article-journal"},"uris":["http://www.mendeley.com/documents/?uuid=ec47de97-ef1c-4774-9351-61bbfdbfc927"]},{"id":"ITEM-17","itemData":{"author":[{"dropping-particle":"","family":"Global Reporting Initiative","given":"","non-dropping-particle":"","parse-names":false,"suffix":""}],"id":"ITEM-17","issued":{"date-parts":[["2016"]]},"page":"10","title":"GRI 417: Marketing and Labeling","type":"article-journal"},"uris":["http://www.mendeley.com/documents/?uuid=9f577059-e62b-4606-91e4-94db295bec78"]},{"id":"ITEM-18","itemData":{"author":[{"dropping-particle":"","family":"Global Reporting Initiative","given":"","non-dropping-particle":"","parse-names":false,"suffix":""}],"container-title":"GRI Standards","id":"ITEM-18","issued":{"date-parts":[["2016"]]},"title":"GRI 418: Customer privacy","type":"article-journal"},"uris":["http://www.mendeley.com/documents/?uuid=dce73286-d737-40e3-b837-083ed03f6827"]},{"id":"ITEM-19","itemData":{"author":[{"dropping-particle":"","family":"Global Reporting Initiative","given":"","non-dropping-particle":"","parse-names":false,"suffix":""}],"id":"ITEM-19","issued":{"date-parts":[["2016"]]},"title":"GRI 419: Socioeconomic compliance","type":"article-journal"},"uris":["http://www.mendeley.com/documents/?uuid=a29bb83b-090e-4b04-922d-ab49fb838e26"]}],"mendeley":{"formattedCitation":"(GLOBAL REPORTING INITIATIVE, 2016h, 2016a, 2016i, 2016j, 2016k, 2016l, 2016m, 2016n, 2016q, 2018a, 2018b, 2016p, 2016b, 2016c, 2016d, 2016e, 2016f, 2016g, 2016o)","plainTextFormattedCitation":"(GLOBAL REPORTING INITIATIVE, 2016h, 2016a, 2016i, 2016j, 2016k, 2016l, 2016m, 2016n, 2016q, 2018a, 2018b, 2016p, 2016b, 2016c, 2016d, 2016e, 2016f, 2016g, 2016o)","previouslyFormattedCitation":"(GLOBAL REPORTING INITIATIVE, 2016h, 2016a, 2016i, 2016j, 2016k, 2016l, 2016m, 2016n, 2016q, 2018a, 2018b, 2016p, 2016b, 2016c, 2016d, 2016e, 2016f, 2016g, 2016o)"},"properties":{"noteIndex":0},"schema":"https://github.com/citation-style-language/schema/raw/master/csl-citation.json"}</w:instrText>
      </w:r>
      <w:r w:rsidRPr="00D22D69">
        <w:rPr>
          <w:rFonts w:ascii="Times New Roman" w:hAnsi="Times New Roman" w:cs="Times New Roman"/>
          <w:sz w:val="24"/>
          <w:szCs w:val="24"/>
        </w:rPr>
        <w:fldChar w:fldCharType="separate"/>
      </w:r>
      <w:r w:rsidRPr="00D22D69">
        <w:rPr>
          <w:rFonts w:ascii="Times New Roman" w:hAnsi="Times New Roman" w:cs="Times New Roman"/>
          <w:noProof/>
          <w:sz w:val="24"/>
          <w:szCs w:val="24"/>
        </w:rPr>
        <w:t>(GLOBAL REPORTING INITIATIVE, 2016h, 2016a, 2016i, 2016j, 2016k, 2016l, 2016m, 2016n, 2016q, 2018a, 2018b, 2016p, 2016b, 2016c, 2016d, 2016e, 2016f, 2016g, 2016o)</w:t>
      </w:r>
      <w:r w:rsidRPr="00D22D69">
        <w:rPr>
          <w:rFonts w:ascii="Times New Roman" w:hAnsi="Times New Roman" w:cs="Times New Roman"/>
          <w:sz w:val="24"/>
          <w:szCs w:val="24"/>
        </w:rPr>
        <w:fldChar w:fldCharType="end"/>
      </w:r>
      <w:r w:rsidRPr="00D22D69">
        <w:rPr>
          <w:rFonts w:ascii="Times New Roman" w:hAnsi="Times New Roman" w:cs="Times New Roman"/>
          <w:sz w:val="24"/>
          <w:szCs w:val="24"/>
        </w:rPr>
        <w:t xml:space="preserve">: </w:t>
      </w:r>
    </w:p>
    <w:p w14:paraId="0EB6C9F7" w14:textId="77777777" w:rsidR="00D22D69" w:rsidRDefault="00D22D69" w:rsidP="00D22D69"/>
    <w:p w14:paraId="156ECD84" w14:textId="77777777" w:rsidR="00D22D69" w:rsidRDefault="00D22D69" w:rsidP="00D22D69">
      <w:pPr>
        <w:pStyle w:val="Figura"/>
      </w:pPr>
      <w:bookmarkStart w:id="0" w:name="_Ref14103111"/>
      <w:bookmarkStart w:id="1" w:name="_Toc15932040"/>
      <w:r>
        <w:t xml:space="preserve">Tabela </w:t>
      </w:r>
      <w:fldSimple w:instr=" SEQ Tabela \* ARABIC ">
        <w:r>
          <w:rPr>
            <w:noProof/>
          </w:rPr>
          <w:t>1</w:t>
        </w:r>
      </w:fldSimple>
      <w:bookmarkEnd w:id="0"/>
      <w:r>
        <w:t xml:space="preserve"> - Tópicos e Indicadores Sociais dos Padrões GRI</w:t>
      </w:r>
      <w:bookmarkEnd w:id="1"/>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400"/>
        <w:gridCol w:w="6173"/>
      </w:tblGrid>
      <w:tr w:rsidR="00D22D69" w:rsidRPr="00D22D69" w14:paraId="41B79F35" w14:textId="77777777" w:rsidTr="00D22EFF">
        <w:trPr>
          <w:trHeight w:val="320"/>
        </w:trPr>
        <w:tc>
          <w:tcPr>
            <w:tcW w:w="1707" w:type="dxa"/>
            <w:shd w:val="clear" w:color="auto" w:fill="auto"/>
            <w:hideMark/>
          </w:tcPr>
          <w:p w14:paraId="56CF110D" w14:textId="77777777" w:rsidR="00D22D69" w:rsidRPr="00D22D69" w:rsidRDefault="00D22D69" w:rsidP="002745DF">
            <w:pPr>
              <w:spacing w:line="240" w:lineRule="auto"/>
              <w:jc w:val="center"/>
              <w:rPr>
                <w:rFonts w:ascii="Times New Roman" w:hAnsi="Times New Roman" w:cs="Times New Roman"/>
                <w:b/>
                <w:bCs/>
                <w:color w:val="000000"/>
              </w:rPr>
            </w:pPr>
            <w:r w:rsidRPr="00D22D69">
              <w:rPr>
                <w:rFonts w:ascii="Times New Roman" w:hAnsi="Times New Roman" w:cs="Times New Roman"/>
                <w:b/>
                <w:bCs/>
                <w:color w:val="000000"/>
              </w:rPr>
              <w:t>TÓPICO</w:t>
            </w:r>
          </w:p>
        </w:tc>
        <w:tc>
          <w:tcPr>
            <w:tcW w:w="1400" w:type="dxa"/>
            <w:shd w:val="clear" w:color="auto" w:fill="auto"/>
            <w:hideMark/>
          </w:tcPr>
          <w:p w14:paraId="60CE003B" w14:textId="77777777" w:rsidR="00D22D69" w:rsidRPr="00D22D69" w:rsidRDefault="00D22D69" w:rsidP="002745DF">
            <w:pPr>
              <w:spacing w:line="240" w:lineRule="auto"/>
              <w:jc w:val="center"/>
              <w:rPr>
                <w:rFonts w:ascii="Times New Roman" w:hAnsi="Times New Roman" w:cs="Times New Roman"/>
                <w:b/>
                <w:bCs/>
                <w:color w:val="000000"/>
              </w:rPr>
            </w:pPr>
            <w:r w:rsidRPr="00D22D69">
              <w:rPr>
                <w:rFonts w:ascii="Times New Roman" w:hAnsi="Times New Roman" w:cs="Times New Roman"/>
                <w:b/>
                <w:bCs/>
                <w:color w:val="000000"/>
              </w:rPr>
              <w:t>CÓDIGO</w:t>
            </w:r>
          </w:p>
        </w:tc>
        <w:tc>
          <w:tcPr>
            <w:tcW w:w="6173" w:type="dxa"/>
            <w:shd w:val="clear" w:color="auto" w:fill="auto"/>
            <w:hideMark/>
          </w:tcPr>
          <w:p w14:paraId="59EBAF79" w14:textId="77777777" w:rsidR="00D22D69" w:rsidRPr="00D22D69" w:rsidRDefault="00D22D69" w:rsidP="002745DF">
            <w:pPr>
              <w:spacing w:line="240" w:lineRule="auto"/>
              <w:jc w:val="center"/>
              <w:rPr>
                <w:rFonts w:ascii="Times New Roman" w:hAnsi="Times New Roman" w:cs="Times New Roman"/>
                <w:b/>
                <w:bCs/>
                <w:color w:val="000000"/>
              </w:rPr>
            </w:pPr>
            <w:r w:rsidRPr="00D22D69">
              <w:rPr>
                <w:rFonts w:ascii="Times New Roman" w:hAnsi="Times New Roman" w:cs="Times New Roman"/>
                <w:b/>
                <w:bCs/>
                <w:color w:val="000000"/>
              </w:rPr>
              <w:t>INDICADOR</w:t>
            </w:r>
          </w:p>
        </w:tc>
      </w:tr>
      <w:tr w:rsidR="00D22D69" w:rsidRPr="00D22D69" w14:paraId="2CBC350E" w14:textId="77777777" w:rsidTr="00D22EFF">
        <w:trPr>
          <w:trHeight w:val="300"/>
        </w:trPr>
        <w:tc>
          <w:tcPr>
            <w:tcW w:w="1707" w:type="dxa"/>
            <w:vMerge w:val="restart"/>
            <w:shd w:val="clear" w:color="auto" w:fill="auto"/>
            <w:hideMark/>
          </w:tcPr>
          <w:p w14:paraId="3C637D76" w14:textId="77777777" w:rsidR="00D22D69" w:rsidRPr="00D22D69" w:rsidRDefault="00D22D69" w:rsidP="002745DF">
            <w:pPr>
              <w:spacing w:line="240" w:lineRule="auto"/>
              <w:jc w:val="center"/>
              <w:rPr>
                <w:rFonts w:ascii="Times New Roman" w:hAnsi="Times New Roman" w:cs="Times New Roman"/>
                <w:b/>
                <w:bCs/>
                <w:color w:val="000000"/>
              </w:rPr>
            </w:pPr>
            <w:r w:rsidRPr="00D22D69">
              <w:rPr>
                <w:rFonts w:ascii="Times New Roman" w:hAnsi="Times New Roman" w:cs="Times New Roman"/>
                <w:b/>
                <w:bCs/>
                <w:color w:val="000000"/>
              </w:rPr>
              <w:t>Emprego</w:t>
            </w:r>
          </w:p>
        </w:tc>
        <w:tc>
          <w:tcPr>
            <w:tcW w:w="1400" w:type="dxa"/>
            <w:shd w:val="clear" w:color="auto" w:fill="auto"/>
            <w:noWrap/>
            <w:hideMark/>
          </w:tcPr>
          <w:p w14:paraId="4FD0DD1A"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401-1</w:t>
            </w:r>
          </w:p>
        </w:tc>
        <w:tc>
          <w:tcPr>
            <w:tcW w:w="6173" w:type="dxa"/>
            <w:shd w:val="clear" w:color="auto" w:fill="auto"/>
            <w:hideMark/>
          </w:tcPr>
          <w:p w14:paraId="1ABF01FE"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Novas contratações de funcionários e rotatividade de funcionários</w:t>
            </w:r>
          </w:p>
        </w:tc>
      </w:tr>
      <w:tr w:rsidR="00D22D69" w:rsidRPr="00D22D69" w14:paraId="535C4872" w14:textId="77777777" w:rsidTr="00D22EFF">
        <w:trPr>
          <w:trHeight w:val="600"/>
        </w:trPr>
        <w:tc>
          <w:tcPr>
            <w:tcW w:w="1707" w:type="dxa"/>
            <w:vMerge/>
            <w:shd w:val="clear" w:color="auto" w:fill="auto"/>
            <w:hideMark/>
          </w:tcPr>
          <w:p w14:paraId="4B4C3460" w14:textId="77777777" w:rsidR="00D22D69" w:rsidRPr="00D22D69" w:rsidRDefault="00D22D69"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45821BFE"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401-2</w:t>
            </w:r>
          </w:p>
        </w:tc>
        <w:tc>
          <w:tcPr>
            <w:tcW w:w="6173" w:type="dxa"/>
            <w:shd w:val="clear" w:color="auto" w:fill="auto"/>
            <w:hideMark/>
          </w:tcPr>
          <w:p w14:paraId="2B78C64D"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Benefícios oferecidos a funcionários em tempo integral que não são fornecidos a empregados temporários ou em regime de meio período</w:t>
            </w:r>
          </w:p>
        </w:tc>
      </w:tr>
      <w:tr w:rsidR="00D22D69" w:rsidRPr="00D22D69" w14:paraId="3914A063" w14:textId="77777777" w:rsidTr="00D22EFF">
        <w:trPr>
          <w:trHeight w:val="315"/>
        </w:trPr>
        <w:tc>
          <w:tcPr>
            <w:tcW w:w="1707" w:type="dxa"/>
            <w:vMerge/>
            <w:shd w:val="clear" w:color="auto" w:fill="auto"/>
            <w:hideMark/>
          </w:tcPr>
          <w:p w14:paraId="16541A67" w14:textId="77777777" w:rsidR="00D22D69" w:rsidRPr="00D22D69" w:rsidRDefault="00D22D69"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3385A4DB"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401-3</w:t>
            </w:r>
          </w:p>
        </w:tc>
        <w:tc>
          <w:tcPr>
            <w:tcW w:w="6173" w:type="dxa"/>
            <w:shd w:val="clear" w:color="auto" w:fill="auto"/>
            <w:hideMark/>
          </w:tcPr>
          <w:p w14:paraId="29122B52"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Licença parental</w:t>
            </w:r>
          </w:p>
        </w:tc>
      </w:tr>
      <w:tr w:rsidR="00D22D69" w:rsidRPr="00D22D69" w14:paraId="7C158394" w14:textId="77777777" w:rsidTr="00D22EFF">
        <w:trPr>
          <w:trHeight w:val="870"/>
        </w:trPr>
        <w:tc>
          <w:tcPr>
            <w:tcW w:w="1707" w:type="dxa"/>
            <w:shd w:val="clear" w:color="auto" w:fill="auto"/>
            <w:hideMark/>
          </w:tcPr>
          <w:p w14:paraId="6759C743" w14:textId="77777777" w:rsidR="00D22D69" w:rsidRPr="00D22D69" w:rsidRDefault="00D22D69" w:rsidP="002745DF">
            <w:pPr>
              <w:spacing w:line="240" w:lineRule="auto"/>
              <w:jc w:val="center"/>
              <w:rPr>
                <w:rFonts w:ascii="Times New Roman" w:hAnsi="Times New Roman" w:cs="Times New Roman"/>
                <w:b/>
                <w:bCs/>
                <w:color w:val="000000"/>
              </w:rPr>
            </w:pPr>
            <w:r w:rsidRPr="00D22D69">
              <w:rPr>
                <w:rFonts w:ascii="Times New Roman" w:hAnsi="Times New Roman" w:cs="Times New Roman"/>
                <w:b/>
                <w:bCs/>
                <w:color w:val="000000"/>
              </w:rPr>
              <w:t>Gestão das Relações Trabalhistas</w:t>
            </w:r>
          </w:p>
        </w:tc>
        <w:tc>
          <w:tcPr>
            <w:tcW w:w="1400" w:type="dxa"/>
            <w:shd w:val="clear" w:color="auto" w:fill="auto"/>
            <w:noWrap/>
            <w:hideMark/>
          </w:tcPr>
          <w:p w14:paraId="7A3E323F"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402-1</w:t>
            </w:r>
          </w:p>
        </w:tc>
        <w:tc>
          <w:tcPr>
            <w:tcW w:w="6173" w:type="dxa"/>
            <w:shd w:val="clear" w:color="auto" w:fill="auto"/>
            <w:hideMark/>
          </w:tcPr>
          <w:p w14:paraId="3F1AA415"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Prazos mínimos de aviso prévio em relação a mudanças operacionais</w:t>
            </w:r>
          </w:p>
        </w:tc>
      </w:tr>
      <w:tr w:rsidR="00D22D69" w:rsidRPr="00D22D69" w14:paraId="66A17538" w14:textId="77777777" w:rsidTr="00D22EFF">
        <w:trPr>
          <w:trHeight w:val="300"/>
        </w:trPr>
        <w:tc>
          <w:tcPr>
            <w:tcW w:w="1707" w:type="dxa"/>
            <w:vMerge w:val="restart"/>
            <w:shd w:val="clear" w:color="auto" w:fill="auto"/>
            <w:hideMark/>
          </w:tcPr>
          <w:p w14:paraId="6065CFAE" w14:textId="77777777" w:rsidR="00D22D69" w:rsidRPr="00D22D69" w:rsidRDefault="00D22D69" w:rsidP="002745DF">
            <w:pPr>
              <w:spacing w:line="240" w:lineRule="auto"/>
              <w:jc w:val="center"/>
              <w:rPr>
                <w:rFonts w:ascii="Times New Roman" w:hAnsi="Times New Roman" w:cs="Times New Roman"/>
                <w:b/>
                <w:bCs/>
                <w:color w:val="000000"/>
              </w:rPr>
            </w:pPr>
            <w:r w:rsidRPr="00D22D69">
              <w:rPr>
                <w:rFonts w:ascii="Times New Roman" w:hAnsi="Times New Roman" w:cs="Times New Roman"/>
                <w:b/>
                <w:bCs/>
                <w:color w:val="000000"/>
              </w:rPr>
              <w:t>Saúde e Segurança Ocupacional</w:t>
            </w:r>
          </w:p>
        </w:tc>
        <w:tc>
          <w:tcPr>
            <w:tcW w:w="1400" w:type="dxa"/>
            <w:shd w:val="clear" w:color="auto" w:fill="auto"/>
            <w:noWrap/>
            <w:hideMark/>
          </w:tcPr>
          <w:p w14:paraId="3CDD3D6C"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403-1</w:t>
            </w:r>
          </w:p>
        </w:tc>
        <w:tc>
          <w:tcPr>
            <w:tcW w:w="6173" w:type="dxa"/>
            <w:shd w:val="clear" w:color="auto" w:fill="auto"/>
            <w:hideMark/>
          </w:tcPr>
          <w:p w14:paraId="0E8A31B4"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Sistema de gestão de saúde ocupacional e segurança</w:t>
            </w:r>
          </w:p>
        </w:tc>
      </w:tr>
      <w:tr w:rsidR="00D22D69" w:rsidRPr="00D22D69" w14:paraId="41FCF610" w14:textId="77777777" w:rsidTr="00D22EFF">
        <w:trPr>
          <w:trHeight w:val="300"/>
        </w:trPr>
        <w:tc>
          <w:tcPr>
            <w:tcW w:w="1707" w:type="dxa"/>
            <w:vMerge/>
            <w:shd w:val="clear" w:color="auto" w:fill="auto"/>
            <w:hideMark/>
          </w:tcPr>
          <w:p w14:paraId="5B1AD356" w14:textId="77777777" w:rsidR="00D22D69" w:rsidRPr="00D22D69" w:rsidRDefault="00D22D69"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2F2A7CF5"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403-2</w:t>
            </w:r>
          </w:p>
        </w:tc>
        <w:tc>
          <w:tcPr>
            <w:tcW w:w="6173" w:type="dxa"/>
            <w:shd w:val="clear" w:color="auto" w:fill="auto"/>
            <w:hideMark/>
          </w:tcPr>
          <w:p w14:paraId="0C08A05E"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Identificação de perigos, avaliação de riscos e investigação de incidentes</w:t>
            </w:r>
          </w:p>
        </w:tc>
      </w:tr>
      <w:tr w:rsidR="00D22D69" w:rsidRPr="00D22D69" w14:paraId="121A1194" w14:textId="77777777" w:rsidTr="00D22EFF">
        <w:trPr>
          <w:trHeight w:val="300"/>
        </w:trPr>
        <w:tc>
          <w:tcPr>
            <w:tcW w:w="1707" w:type="dxa"/>
            <w:vMerge/>
            <w:shd w:val="clear" w:color="auto" w:fill="auto"/>
            <w:hideMark/>
          </w:tcPr>
          <w:p w14:paraId="20789B55" w14:textId="77777777" w:rsidR="00D22D69" w:rsidRPr="00D22D69" w:rsidRDefault="00D22D69"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4DEBC559"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403-3</w:t>
            </w:r>
          </w:p>
        </w:tc>
        <w:tc>
          <w:tcPr>
            <w:tcW w:w="6173" w:type="dxa"/>
            <w:shd w:val="clear" w:color="auto" w:fill="auto"/>
            <w:hideMark/>
          </w:tcPr>
          <w:p w14:paraId="68FECD62"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Serviços de saúde ocupacional</w:t>
            </w:r>
          </w:p>
        </w:tc>
      </w:tr>
      <w:tr w:rsidR="00D22D69" w:rsidRPr="00D22D69" w14:paraId="3815B47D" w14:textId="77777777" w:rsidTr="00D22EFF">
        <w:trPr>
          <w:trHeight w:val="600"/>
        </w:trPr>
        <w:tc>
          <w:tcPr>
            <w:tcW w:w="1707" w:type="dxa"/>
            <w:vMerge/>
            <w:shd w:val="clear" w:color="auto" w:fill="auto"/>
            <w:hideMark/>
          </w:tcPr>
          <w:p w14:paraId="0D21209A" w14:textId="77777777" w:rsidR="00D22D69" w:rsidRPr="00D22D69" w:rsidRDefault="00D22D69"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4AEC7283"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403-4</w:t>
            </w:r>
          </w:p>
        </w:tc>
        <w:tc>
          <w:tcPr>
            <w:tcW w:w="6173" w:type="dxa"/>
            <w:shd w:val="clear" w:color="auto" w:fill="auto"/>
            <w:hideMark/>
          </w:tcPr>
          <w:p w14:paraId="6BF1D8C3"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Participação do trabalhador, consulta e comunicação sobre saúde e segurança ocupacional</w:t>
            </w:r>
          </w:p>
        </w:tc>
      </w:tr>
      <w:tr w:rsidR="00D22D69" w:rsidRPr="00D22D69" w14:paraId="075848DC" w14:textId="77777777" w:rsidTr="00D22EFF">
        <w:trPr>
          <w:trHeight w:val="300"/>
        </w:trPr>
        <w:tc>
          <w:tcPr>
            <w:tcW w:w="1707" w:type="dxa"/>
            <w:vMerge/>
            <w:shd w:val="clear" w:color="auto" w:fill="auto"/>
            <w:hideMark/>
          </w:tcPr>
          <w:p w14:paraId="33B9FECC" w14:textId="77777777" w:rsidR="00D22D69" w:rsidRPr="00D22D69" w:rsidRDefault="00D22D69"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0170945B"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403-5</w:t>
            </w:r>
          </w:p>
        </w:tc>
        <w:tc>
          <w:tcPr>
            <w:tcW w:w="6173" w:type="dxa"/>
            <w:shd w:val="clear" w:color="auto" w:fill="auto"/>
            <w:hideMark/>
          </w:tcPr>
          <w:p w14:paraId="56F81C08"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Treinamento de trabalhadores em saúde e segurança ocupacional</w:t>
            </w:r>
          </w:p>
        </w:tc>
      </w:tr>
      <w:tr w:rsidR="00D22D69" w:rsidRPr="00D22D69" w14:paraId="07404AFE" w14:textId="77777777" w:rsidTr="00D22EFF">
        <w:trPr>
          <w:trHeight w:val="300"/>
        </w:trPr>
        <w:tc>
          <w:tcPr>
            <w:tcW w:w="1707" w:type="dxa"/>
            <w:vMerge/>
            <w:shd w:val="clear" w:color="auto" w:fill="auto"/>
            <w:hideMark/>
          </w:tcPr>
          <w:p w14:paraId="60EFD8B7" w14:textId="77777777" w:rsidR="00D22D69" w:rsidRPr="00D22D69" w:rsidRDefault="00D22D69"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6C59D88B"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403-6</w:t>
            </w:r>
          </w:p>
        </w:tc>
        <w:tc>
          <w:tcPr>
            <w:tcW w:w="6173" w:type="dxa"/>
            <w:shd w:val="clear" w:color="auto" w:fill="auto"/>
            <w:hideMark/>
          </w:tcPr>
          <w:p w14:paraId="4DD53432"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Promoção da saúde do trabalhador</w:t>
            </w:r>
          </w:p>
        </w:tc>
      </w:tr>
      <w:tr w:rsidR="00D22D69" w:rsidRPr="00D22D69" w14:paraId="2A31F451" w14:textId="77777777" w:rsidTr="00D22EFF">
        <w:trPr>
          <w:trHeight w:val="600"/>
        </w:trPr>
        <w:tc>
          <w:tcPr>
            <w:tcW w:w="1707" w:type="dxa"/>
            <w:vMerge/>
            <w:shd w:val="clear" w:color="auto" w:fill="auto"/>
            <w:hideMark/>
          </w:tcPr>
          <w:p w14:paraId="4889AA2B" w14:textId="77777777" w:rsidR="00D22D69" w:rsidRPr="00D22D69" w:rsidRDefault="00D22D69"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645220CA"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403-7</w:t>
            </w:r>
          </w:p>
        </w:tc>
        <w:tc>
          <w:tcPr>
            <w:tcW w:w="6173" w:type="dxa"/>
            <w:shd w:val="clear" w:color="auto" w:fill="auto"/>
            <w:hideMark/>
          </w:tcPr>
          <w:p w14:paraId="3DC0D82C"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Prevenção e mitigação de impactos na saúde e segurança ocupacional diretamente ligados por relações comerciais</w:t>
            </w:r>
          </w:p>
        </w:tc>
      </w:tr>
      <w:tr w:rsidR="00D22D69" w:rsidRPr="00D22D69" w14:paraId="33FDE09F" w14:textId="77777777" w:rsidTr="00D22EFF">
        <w:trPr>
          <w:trHeight w:val="600"/>
        </w:trPr>
        <w:tc>
          <w:tcPr>
            <w:tcW w:w="1707" w:type="dxa"/>
            <w:vMerge/>
            <w:shd w:val="clear" w:color="auto" w:fill="auto"/>
            <w:hideMark/>
          </w:tcPr>
          <w:p w14:paraId="59768338" w14:textId="77777777" w:rsidR="00D22D69" w:rsidRPr="00D22D69" w:rsidRDefault="00D22D69"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3294D33C"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403-8</w:t>
            </w:r>
          </w:p>
        </w:tc>
        <w:tc>
          <w:tcPr>
            <w:tcW w:w="6173" w:type="dxa"/>
            <w:shd w:val="clear" w:color="auto" w:fill="auto"/>
            <w:hideMark/>
          </w:tcPr>
          <w:p w14:paraId="1278811D"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Trabalhadores abrangidos por um sistema de gestão de saúde ocupacional e segurança</w:t>
            </w:r>
          </w:p>
        </w:tc>
      </w:tr>
      <w:tr w:rsidR="00D22D69" w:rsidRPr="00D22D69" w14:paraId="3EE185D2" w14:textId="77777777" w:rsidTr="00D22EFF">
        <w:trPr>
          <w:trHeight w:val="300"/>
        </w:trPr>
        <w:tc>
          <w:tcPr>
            <w:tcW w:w="1707" w:type="dxa"/>
            <w:vMerge/>
            <w:shd w:val="clear" w:color="auto" w:fill="auto"/>
            <w:hideMark/>
          </w:tcPr>
          <w:p w14:paraId="2D9EF83F" w14:textId="77777777" w:rsidR="00D22D69" w:rsidRPr="00D22D69" w:rsidRDefault="00D22D69"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46A6637A"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403-9</w:t>
            </w:r>
          </w:p>
        </w:tc>
        <w:tc>
          <w:tcPr>
            <w:tcW w:w="6173" w:type="dxa"/>
            <w:shd w:val="clear" w:color="auto" w:fill="auto"/>
            <w:hideMark/>
          </w:tcPr>
          <w:p w14:paraId="784309F2"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Lesões relacionadas ao trabalho</w:t>
            </w:r>
          </w:p>
        </w:tc>
      </w:tr>
      <w:tr w:rsidR="00D22D69" w:rsidRPr="00D22D69" w14:paraId="170D5DE7" w14:textId="77777777" w:rsidTr="00D22EFF">
        <w:trPr>
          <w:trHeight w:val="315"/>
        </w:trPr>
        <w:tc>
          <w:tcPr>
            <w:tcW w:w="1707" w:type="dxa"/>
            <w:vMerge/>
            <w:shd w:val="clear" w:color="auto" w:fill="auto"/>
            <w:hideMark/>
          </w:tcPr>
          <w:p w14:paraId="6CD79B55" w14:textId="77777777" w:rsidR="00D22D69" w:rsidRPr="00D22D69" w:rsidRDefault="00D22D69"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266F081D"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403-10</w:t>
            </w:r>
          </w:p>
        </w:tc>
        <w:tc>
          <w:tcPr>
            <w:tcW w:w="6173" w:type="dxa"/>
            <w:shd w:val="clear" w:color="auto" w:fill="auto"/>
            <w:hideMark/>
          </w:tcPr>
          <w:p w14:paraId="0C96FA4F"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Problemas de saúde relacionados ao trabalho</w:t>
            </w:r>
          </w:p>
        </w:tc>
      </w:tr>
      <w:tr w:rsidR="00D22D69" w:rsidRPr="00D22D69" w14:paraId="3EE603EC" w14:textId="77777777" w:rsidTr="00D22EFF">
        <w:trPr>
          <w:trHeight w:val="300"/>
        </w:trPr>
        <w:tc>
          <w:tcPr>
            <w:tcW w:w="1707" w:type="dxa"/>
            <w:vMerge w:val="restart"/>
            <w:shd w:val="clear" w:color="auto" w:fill="auto"/>
            <w:hideMark/>
          </w:tcPr>
          <w:p w14:paraId="76D8190B" w14:textId="77777777" w:rsidR="00D22D69" w:rsidRPr="00D22D69" w:rsidRDefault="00D22D69" w:rsidP="002745DF">
            <w:pPr>
              <w:spacing w:line="240" w:lineRule="auto"/>
              <w:jc w:val="center"/>
              <w:rPr>
                <w:rFonts w:ascii="Times New Roman" w:hAnsi="Times New Roman" w:cs="Times New Roman"/>
                <w:b/>
                <w:bCs/>
                <w:color w:val="000000"/>
              </w:rPr>
            </w:pPr>
            <w:r w:rsidRPr="00D22D69">
              <w:rPr>
                <w:rFonts w:ascii="Times New Roman" w:hAnsi="Times New Roman" w:cs="Times New Roman"/>
                <w:b/>
                <w:bCs/>
                <w:color w:val="000000"/>
              </w:rPr>
              <w:t>Treinamento e Educação</w:t>
            </w:r>
          </w:p>
        </w:tc>
        <w:tc>
          <w:tcPr>
            <w:tcW w:w="1400" w:type="dxa"/>
            <w:shd w:val="clear" w:color="auto" w:fill="auto"/>
            <w:noWrap/>
            <w:hideMark/>
          </w:tcPr>
          <w:p w14:paraId="5B45A8B1"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404-1</w:t>
            </w:r>
          </w:p>
        </w:tc>
        <w:tc>
          <w:tcPr>
            <w:tcW w:w="6173" w:type="dxa"/>
            <w:shd w:val="clear" w:color="auto" w:fill="auto"/>
            <w:hideMark/>
          </w:tcPr>
          <w:p w14:paraId="1A656525"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Média de horas de treinamento por ano por funcionário</w:t>
            </w:r>
          </w:p>
        </w:tc>
      </w:tr>
      <w:tr w:rsidR="00D22D69" w:rsidRPr="00D22D69" w14:paraId="62355A13" w14:textId="77777777" w:rsidTr="00D22EFF">
        <w:trPr>
          <w:trHeight w:val="600"/>
        </w:trPr>
        <w:tc>
          <w:tcPr>
            <w:tcW w:w="1707" w:type="dxa"/>
            <w:vMerge/>
            <w:shd w:val="clear" w:color="auto" w:fill="auto"/>
            <w:hideMark/>
          </w:tcPr>
          <w:p w14:paraId="19315984" w14:textId="77777777" w:rsidR="00D22D69" w:rsidRPr="00D22D69" w:rsidRDefault="00D22D69"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1543DC32"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404-2</w:t>
            </w:r>
          </w:p>
        </w:tc>
        <w:tc>
          <w:tcPr>
            <w:tcW w:w="6173" w:type="dxa"/>
            <w:shd w:val="clear" w:color="auto" w:fill="auto"/>
            <w:hideMark/>
          </w:tcPr>
          <w:p w14:paraId="67632954"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Programas para melhorar as habilidades dos funcionários e os programas de assistência de transição</w:t>
            </w:r>
          </w:p>
        </w:tc>
      </w:tr>
      <w:tr w:rsidR="00D22D69" w:rsidRPr="00D22D69" w14:paraId="45AB9B50" w14:textId="77777777" w:rsidTr="00D22EFF">
        <w:trPr>
          <w:trHeight w:val="615"/>
        </w:trPr>
        <w:tc>
          <w:tcPr>
            <w:tcW w:w="1707" w:type="dxa"/>
            <w:vMerge/>
            <w:shd w:val="clear" w:color="auto" w:fill="auto"/>
            <w:hideMark/>
          </w:tcPr>
          <w:p w14:paraId="33CD6D95" w14:textId="77777777" w:rsidR="00D22D69" w:rsidRPr="00D22D69" w:rsidRDefault="00D22D69"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6AF1CF6F"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404-3</w:t>
            </w:r>
          </w:p>
        </w:tc>
        <w:tc>
          <w:tcPr>
            <w:tcW w:w="6173" w:type="dxa"/>
            <w:shd w:val="clear" w:color="auto" w:fill="auto"/>
            <w:hideMark/>
          </w:tcPr>
          <w:p w14:paraId="59AFBB27"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Percentual de empregados que recebem regularmente análises de desempenho e desenvolvimento de carreira</w:t>
            </w:r>
          </w:p>
        </w:tc>
      </w:tr>
      <w:tr w:rsidR="00D22D69" w:rsidRPr="00D22D69" w14:paraId="68BA9F49" w14:textId="77777777" w:rsidTr="00D22EFF">
        <w:trPr>
          <w:trHeight w:val="405"/>
        </w:trPr>
        <w:tc>
          <w:tcPr>
            <w:tcW w:w="1707" w:type="dxa"/>
            <w:vMerge w:val="restart"/>
            <w:shd w:val="clear" w:color="auto" w:fill="auto"/>
            <w:hideMark/>
          </w:tcPr>
          <w:p w14:paraId="6372253A" w14:textId="77777777" w:rsidR="00D22D69" w:rsidRPr="00D22D69" w:rsidRDefault="00D22D69" w:rsidP="002745DF">
            <w:pPr>
              <w:spacing w:line="240" w:lineRule="auto"/>
              <w:jc w:val="center"/>
              <w:rPr>
                <w:rFonts w:ascii="Times New Roman" w:hAnsi="Times New Roman" w:cs="Times New Roman"/>
                <w:b/>
                <w:bCs/>
                <w:color w:val="000000"/>
              </w:rPr>
            </w:pPr>
            <w:r w:rsidRPr="00D22D69">
              <w:rPr>
                <w:rFonts w:ascii="Times New Roman" w:hAnsi="Times New Roman" w:cs="Times New Roman"/>
                <w:b/>
                <w:bCs/>
                <w:color w:val="000000"/>
              </w:rPr>
              <w:t>Diversidade e Igualdade de Oportunidades</w:t>
            </w:r>
          </w:p>
        </w:tc>
        <w:tc>
          <w:tcPr>
            <w:tcW w:w="1400" w:type="dxa"/>
            <w:shd w:val="clear" w:color="auto" w:fill="auto"/>
            <w:noWrap/>
            <w:hideMark/>
          </w:tcPr>
          <w:p w14:paraId="2D0B01C1"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405-1</w:t>
            </w:r>
          </w:p>
        </w:tc>
        <w:tc>
          <w:tcPr>
            <w:tcW w:w="6173" w:type="dxa"/>
            <w:shd w:val="clear" w:color="auto" w:fill="auto"/>
            <w:hideMark/>
          </w:tcPr>
          <w:p w14:paraId="1A4F213B"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Diversidade de órgãos de governança e funcionários</w:t>
            </w:r>
          </w:p>
        </w:tc>
      </w:tr>
      <w:tr w:rsidR="00D22D69" w:rsidRPr="00D22D69" w14:paraId="0AF27E0D" w14:textId="77777777" w:rsidTr="00D22EFF">
        <w:trPr>
          <w:trHeight w:val="405"/>
        </w:trPr>
        <w:tc>
          <w:tcPr>
            <w:tcW w:w="1707" w:type="dxa"/>
            <w:vMerge/>
            <w:shd w:val="clear" w:color="auto" w:fill="auto"/>
            <w:hideMark/>
          </w:tcPr>
          <w:p w14:paraId="5A7D9EF7" w14:textId="77777777" w:rsidR="00D22D69" w:rsidRPr="00D22D69" w:rsidRDefault="00D22D69"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204855B4"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405-2</w:t>
            </w:r>
          </w:p>
        </w:tc>
        <w:tc>
          <w:tcPr>
            <w:tcW w:w="6173" w:type="dxa"/>
            <w:shd w:val="clear" w:color="auto" w:fill="auto"/>
            <w:hideMark/>
          </w:tcPr>
          <w:p w14:paraId="120CAA6B"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Taxa de salário básico e remuneração de mulheres para homens</w:t>
            </w:r>
          </w:p>
        </w:tc>
      </w:tr>
      <w:tr w:rsidR="00D22D69" w:rsidRPr="00D22D69" w14:paraId="563FE6E2" w14:textId="77777777" w:rsidTr="00D22EFF">
        <w:trPr>
          <w:trHeight w:val="585"/>
        </w:trPr>
        <w:tc>
          <w:tcPr>
            <w:tcW w:w="1707" w:type="dxa"/>
            <w:shd w:val="clear" w:color="auto" w:fill="auto"/>
            <w:hideMark/>
          </w:tcPr>
          <w:p w14:paraId="13DA6E86" w14:textId="77777777" w:rsidR="00D22D69" w:rsidRPr="00D22D69" w:rsidRDefault="00D22D69" w:rsidP="002745DF">
            <w:pPr>
              <w:spacing w:line="240" w:lineRule="auto"/>
              <w:jc w:val="center"/>
              <w:rPr>
                <w:rFonts w:ascii="Times New Roman" w:hAnsi="Times New Roman" w:cs="Times New Roman"/>
                <w:b/>
                <w:bCs/>
                <w:color w:val="000000"/>
              </w:rPr>
            </w:pPr>
            <w:r w:rsidRPr="00D22D69">
              <w:rPr>
                <w:rFonts w:ascii="Times New Roman" w:hAnsi="Times New Roman" w:cs="Times New Roman"/>
                <w:b/>
                <w:bCs/>
                <w:color w:val="000000"/>
              </w:rPr>
              <w:t>Não discriminação</w:t>
            </w:r>
          </w:p>
        </w:tc>
        <w:tc>
          <w:tcPr>
            <w:tcW w:w="1400" w:type="dxa"/>
            <w:shd w:val="clear" w:color="auto" w:fill="auto"/>
            <w:noWrap/>
            <w:hideMark/>
          </w:tcPr>
          <w:p w14:paraId="3DCECE31"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406-1</w:t>
            </w:r>
          </w:p>
        </w:tc>
        <w:tc>
          <w:tcPr>
            <w:tcW w:w="6173" w:type="dxa"/>
            <w:shd w:val="clear" w:color="auto" w:fill="auto"/>
            <w:hideMark/>
          </w:tcPr>
          <w:p w14:paraId="41C8FA87"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Incidentes de discriminação e ações corretivas tomadas</w:t>
            </w:r>
          </w:p>
        </w:tc>
      </w:tr>
      <w:tr w:rsidR="00D22D69" w:rsidRPr="00D22D69" w14:paraId="3DA79B14" w14:textId="77777777" w:rsidTr="00D22EFF">
        <w:trPr>
          <w:trHeight w:val="1155"/>
        </w:trPr>
        <w:tc>
          <w:tcPr>
            <w:tcW w:w="1707" w:type="dxa"/>
            <w:shd w:val="clear" w:color="auto" w:fill="auto"/>
            <w:hideMark/>
          </w:tcPr>
          <w:p w14:paraId="6C893DC5" w14:textId="77777777" w:rsidR="00D22D69" w:rsidRPr="00D22D69" w:rsidRDefault="00D22D69" w:rsidP="002745DF">
            <w:pPr>
              <w:spacing w:line="240" w:lineRule="auto"/>
              <w:jc w:val="center"/>
              <w:rPr>
                <w:rFonts w:ascii="Times New Roman" w:hAnsi="Times New Roman" w:cs="Times New Roman"/>
                <w:b/>
                <w:bCs/>
                <w:color w:val="000000"/>
              </w:rPr>
            </w:pPr>
            <w:r w:rsidRPr="00D22D69">
              <w:rPr>
                <w:rFonts w:ascii="Times New Roman" w:hAnsi="Times New Roman" w:cs="Times New Roman"/>
                <w:b/>
                <w:bCs/>
                <w:color w:val="000000"/>
              </w:rPr>
              <w:t>Liberdade de Associação e Negociação Coletiva</w:t>
            </w:r>
          </w:p>
        </w:tc>
        <w:tc>
          <w:tcPr>
            <w:tcW w:w="1400" w:type="dxa"/>
            <w:shd w:val="clear" w:color="auto" w:fill="auto"/>
            <w:noWrap/>
            <w:hideMark/>
          </w:tcPr>
          <w:p w14:paraId="6813AE51"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407-1</w:t>
            </w:r>
          </w:p>
        </w:tc>
        <w:tc>
          <w:tcPr>
            <w:tcW w:w="6173" w:type="dxa"/>
            <w:shd w:val="clear" w:color="auto" w:fill="auto"/>
            <w:hideMark/>
          </w:tcPr>
          <w:p w14:paraId="56134E17"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Operações e fornecedores em que o direito à liberdade de associação e negociação coletiva pode estar em risco</w:t>
            </w:r>
          </w:p>
        </w:tc>
      </w:tr>
      <w:tr w:rsidR="00D22D69" w:rsidRPr="00D22D69" w14:paraId="0201EB78" w14:textId="77777777" w:rsidTr="00D22EFF">
        <w:trPr>
          <w:trHeight w:val="615"/>
        </w:trPr>
        <w:tc>
          <w:tcPr>
            <w:tcW w:w="1707" w:type="dxa"/>
            <w:shd w:val="clear" w:color="auto" w:fill="auto"/>
            <w:hideMark/>
          </w:tcPr>
          <w:p w14:paraId="61F5161F" w14:textId="77777777" w:rsidR="00D22D69" w:rsidRPr="00D22D69" w:rsidRDefault="00D22D69" w:rsidP="002745DF">
            <w:pPr>
              <w:spacing w:line="240" w:lineRule="auto"/>
              <w:jc w:val="center"/>
              <w:rPr>
                <w:rFonts w:ascii="Times New Roman" w:hAnsi="Times New Roman" w:cs="Times New Roman"/>
                <w:b/>
                <w:bCs/>
                <w:color w:val="000000"/>
              </w:rPr>
            </w:pPr>
            <w:r w:rsidRPr="00D22D69">
              <w:rPr>
                <w:rFonts w:ascii="Times New Roman" w:hAnsi="Times New Roman" w:cs="Times New Roman"/>
                <w:b/>
                <w:bCs/>
                <w:color w:val="000000"/>
              </w:rPr>
              <w:t>Trabalho Infantil</w:t>
            </w:r>
          </w:p>
        </w:tc>
        <w:tc>
          <w:tcPr>
            <w:tcW w:w="1400" w:type="dxa"/>
            <w:shd w:val="clear" w:color="auto" w:fill="auto"/>
            <w:noWrap/>
            <w:hideMark/>
          </w:tcPr>
          <w:p w14:paraId="125E8486"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408-1</w:t>
            </w:r>
          </w:p>
        </w:tc>
        <w:tc>
          <w:tcPr>
            <w:tcW w:w="6173" w:type="dxa"/>
            <w:shd w:val="clear" w:color="auto" w:fill="auto"/>
            <w:hideMark/>
          </w:tcPr>
          <w:p w14:paraId="4F0EB350"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Operações e fornecedores com risco significativo de ocorrência de trabalho infantil</w:t>
            </w:r>
          </w:p>
        </w:tc>
      </w:tr>
      <w:tr w:rsidR="00D22D69" w:rsidRPr="00D22D69" w14:paraId="0FAD2760" w14:textId="77777777" w:rsidTr="00D22EFF">
        <w:trPr>
          <w:trHeight w:val="870"/>
        </w:trPr>
        <w:tc>
          <w:tcPr>
            <w:tcW w:w="1707" w:type="dxa"/>
            <w:shd w:val="clear" w:color="auto" w:fill="auto"/>
            <w:hideMark/>
          </w:tcPr>
          <w:p w14:paraId="1EB3012F" w14:textId="77777777" w:rsidR="00D22D69" w:rsidRPr="00D22D69" w:rsidRDefault="00D22D69" w:rsidP="002745DF">
            <w:pPr>
              <w:spacing w:line="240" w:lineRule="auto"/>
              <w:jc w:val="center"/>
              <w:rPr>
                <w:rFonts w:ascii="Times New Roman" w:hAnsi="Times New Roman" w:cs="Times New Roman"/>
                <w:b/>
                <w:bCs/>
                <w:color w:val="000000"/>
              </w:rPr>
            </w:pPr>
            <w:r w:rsidRPr="00D22D69">
              <w:rPr>
                <w:rFonts w:ascii="Times New Roman" w:hAnsi="Times New Roman" w:cs="Times New Roman"/>
                <w:b/>
                <w:bCs/>
                <w:color w:val="000000"/>
              </w:rPr>
              <w:t>Trabalho Forçado ou Compulsório</w:t>
            </w:r>
          </w:p>
        </w:tc>
        <w:tc>
          <w:tcPr>
            <w:tcW w:w="1400" w:type="dxa"/>
            <w:shd w:val="clear" w:color="auto" w:fill="auto"/>
            <w:noWrap/>
            <w:hideMark/>
          </w:tcPr>
          <w:p w14:paraId="54413075"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409-1</w:t>
            </w:r>
          </w:p>
        </w:tc>
        <w:tc>
          <w:tcPr>
            <w:tcW w:w="6173" w:type="dxa"/>
            <w:shd w:val="clear" w:color="auto" w:fill="auto"/>
            <w:hideMark/>
          </w:tcPr>
          <w:p w14:paraId="63ECD4D0"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Operações e fornecedores em risco significativo de ocorrência de trabalho forçado ou compulsório</w:t>
            </w:r>
          </w:p>
        </w:tc>
      </w:tr>
      <w:tr w:rsidR="00D22D69" w:rsidRPr="00D22D69" w14:paraId="6F11FBD9" w14:textId="77777777" w:rsidTr="00D22EFF">
        <w:trPr>
          <w:trHeight w:val="615"/>
        </w:trPr>
        <w:tc>
          <w:tcPr>
            <w:tcW w:w="1707" w:type="dxa"/>
            <w:shd w:val="clear" w:color="auto" w:fill="auto"/>
            <w:hideMark/>
          </w:tcPr>
          <w:p w14:paraId="00CC525D" w14:textId="77777777" w:rsidR="00D22D69" w:rsidRPr="00D22D69" w:rsidRDefault="00D22D69" w:rsidP="002745DF">
            <w:pPr>
              <w:spacing w:line="240" w:lineRule="auto"/>
              <w:jc w:val="center"/>
              <w:rPr>
                <w:rFonts w:ascii="Times New Roman" w:hAnsi="Times New Roman" w:cs="Times New Roman"/>
                <w:b/>
                <w:bCs/>
                <w:color w:val="000000"/>
              </w:rPr>
            </w:pPr>
            <w:r w:rsidRPr="00D22D69">
              <w:rPr>
                <w:rFonts w:ascii="Times New Roman" w:hAnsi="Times New Roman" w:cs="Times New Roman"/>
                <w:b/>
                <w:bCs/>
                <w:color w:val="000000"/>
              </w:rPr>
              <w:t>Práticas de segurança</w:t>
            </w:r>
          </w:p>
        </w:tc>
        <w:tc>
          <w:tcPr>
            <w:tcW w:w="1400" w:type="dxa"/>
            <w:shd w:val="clear" w:color="auto" w:fill="auto"/>
            <w:noWrap/>
            <w:hideMark/>
          </w:tcPr>
          <w:p w14:paraId="39806E03"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410-1</w:t>
            </w:r>
          </w:p>
        </w:tc>
        <w:tc>
          <w:tcPr>
            <w:tcW w:w="6173" w:type="dxa"/>
            <w:shd w:val="clear" w:color="auto" w:fill="auto"/>
            <w:hideMark/>
          </w:tcPr>
          <w:p w14:paraId="0F0933B9"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Pessoal de segurança treinado em políticas ou procedimentos de direitos humanos</w:t>
            </w:r>
          </w:p>
        </w:tc>
      </w:tr>
      <w:tr w:rsidR="00D22D69" w:rsidRPr="00D22D69" w14:paraId="7D29C6D4" w14:textId="77777777" w:rsidTr="00D22EFF">
        <w:trPr>
          <w:trHeight w:val="870"/>
        </w:trPr>
        <w:tc>
          <w:tcPr>
            <w:tcW w:w="1707" w:type="dxa"/>
            <w:shd w:val="clear" w:color="auto" w:fill="auto"/>
            <w:hideMark/>
          </w:tcPr>
          <w:p w14:paraId="1FF7A427" w14:textId="77777777" w:rsidR="00D22D69" w:rsidRPr="00D22D69" w:rsidRDefault="00D22D69" w:rsidP="002745DF">
            <w:pPr>
              <w:spacing w:line="240" w:lineRule="auto"/>
              <w:jc w:val="center"/>
              <w:rPr>
                <w:rFonts w:ascii="Times New Roman" w:hAnsi="Times New Roman" w:cs="Times New Roman"/>
                <w:b/>
                <w:bCs/>
                <w:color w:val="000000"/>
              </w:rPr>
            </w:pPr>
            <w:r w:rsidRPr="00D22D69">
              <w:rPr>
                <w:rFonts w:ascii="Times New Roman" w:hAnsi="Times New Roman" w:cs="Times New Roman"/>
                <w:b/>
                <w:bCs/>
                <w:color w:val="000000"/>
              </w:rPr>
              <w:t>Direitos dos Povos Indígenas</w:t>
            </w:r>
          </w:p>
        </w:tc>
        <w:tc>
          <w:tcPr>
            <w:tcW w:w="1400" w:type="dxa"/>
            <w:shd w:val="clear" w:color="auto" w:fill="auto"/>
            <w:noWrap/>
            <w:hideMark/>
          </w:tcPr>
          <w:p w14:paraId="7A612A6E"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411-1</w:t>
            </w:r>
          </w:p>
        </w:tc>
        <w:tc>
          <w:tcPr>
            <w:tcW w:w="6173" w:type="dxa"/>
            <w:shd w:val="clear" w:color="auto" w:fill="auto"/>
            <w:hideMark/>
          </w:tcPr>
          <w:p w14:paraId="7CA5BBFD"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Incidentes de violações envolvendo direitos dos povos indígenas</w:t>
            </w:r>
          </w:p>
        </w:tc>
      </w:tr>
      <w:tr w:rsidR="00D22D69" w:rsidRPr="00D22D69" w14:paraId="303EAE95" w14:textId="77777777" w:rsidTr="00D22EFF">
        <w:trPr>
          <w:trHeight w:val="600"/>
        </w:trPr>
        <w:tc>
          <w:tcPr>
            <w:tcW w:w="1707" w:type="dxa"/>
            <w:vMerge w:val="restart"/>
            <w:shd w:val="clear" w:color="auto" w:fill="auto"/>
            <w:hideMark/>
          </w:tcPr>
          <w:p w14:paraId="46BD9ED6" w14:textId="77777777" w:rsidR="00D22D69" w:rsidRPr="00D22D69" w:rsidRDefault="00D22D69" w:rsidP="002745DF">
            <w:pPr>
              <w:spacing w:line="240" w:lineRule="auto"/>
              <w:jc w:val="center"/>
              <w:rPr>
                <w:rFonts w:ascii="Times New Roman" w:hAnsi="Times New Roman" w:cs="Times New Roman"/>
                <w:b/>
                <w:bCs/>
                <w:color w:val="000000"/>
              </w:rPr>
            </w:pPr>
            <w:r w:rsidRPr="00D22D69">
              <w:rPr>
                <w:rFonts w:ascii="Times New Roman" w:hAnsi="Times New Roman" w:cs="Times New Roman"/>
                <w:b/>
                <w:bCs/>
                <w:color w:val="000000"/>
              </w:rPr>
              <w:t>Avaliação de direitos humanos</w:t>
            </w:r>
          </w:p>
        </w:tc>
        <w:tc>
          <w:tcPr>
            <w:tcW w:w="1400" w:type="dxa"/>
            <w:shd w:val="clear" w:color="auto" w:fill="auto"/>
            <w:noWrap/>
            <w:hideMark/>
          </w:tcPr>
          <w:p w14:paraId="73836044"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412-1</w:t>
            </w:r>
          </w:p>
        </w:tc>
        <w:tc>
          <w:tcPr>
            <w:tcW w:w="6173" w:type="dxa"/>
            <w:shd w:val="clear" w:color="auto" w:fill="auto"/>
            <w:hideMark/>
          </w:tcPr>
          <w:p w14:paraId="1210F975"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Operações que foram submetidas a revisões de direitos humanos ou avaliações de impacto</w:t>
            </w:r>
          </w:p>
        </w:tc>
      </w:tr>
      <w:tr w:rsidR="00D22D69" w:rsidRPr="00D22D69" w14:paraId="0D7FBCAF" w14:textId="77777777" w:rsidTr="00D22EFF">
        <w:trPr>
          <w:trHeight w:val="600"/>
        </w:trPr>
        <w:tc>
          <w:tcPr>
            <w:tcW w:w="1707" w:type="dxa"/>
            <w:vMerge/>
            <w:shd w:val="clear" w:color="auto" w:fill="auto"/>
            <w:hideMark/>
          </w:tcPr>
          <w:p w14:paraId="6FBC62FE" w14:textId="77777777" w:rsidR="00D22D69" w:rsidRPr="00D22D69" w:rsidRDefault="00D22D69"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292E9473"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412-2</w:t>
            </w:r>
          </w:p>
        </w:tc>
        <w:tc>
          <w:tcPr>
            <w:tcW w:w="6173" w:type="dxa"/>
            <w:shd w:val="clear" w:color="auto" w:fill="auto"/>
            <w:hideMark/>
          </w:tcPr>
          <w:p w14:paraId="7B01C216"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Treinamento de funcionários sobre políticas ou procedimentos de direitos humanos</w:t>
            </w:r>
          </w:p>
        </w:tc>
      </w:tr>
      <w:tr w:rsidR="00D22D69" w:rsidRPr="00D22D69" w14:paraId="53DE2365" w14:textId="77777777" w:rsidTr="00D22EFF">
        <w:trPr>
          <w:trHeight w:val="915"/>
        </w:trPr>
        <w:tc>
          <w:tcPr>
            <w:tcW w:w="1707" w:type="dxa"/>
            <w:vMerge/>
            <w:shd w:val="clear" w:color="auto" w:fill="auto"/>
            <w:hideMark/>
          </w:tcPr>
          <w:p w14:paraId="78762E42" w14:textId="77777777" w:rsidR="00D22D69" w:rsidRPr="00D22D69" w:rsidRDefault="00D22D69"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68D98C04"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412-3</w:t>
            </w:r>
          </w:p>
        </w:tc>
        <w:tc>
          <w:tcPr>
            <w:tcW w:w="6173" w:type="dxa"/>
            <w:shd w:val="clear" w:color="auto" w:fill="auto"/>
            <w:hideMark/>
          </w:tcPr>
          <w:p w14:paraId="7CDD60F9"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Acordos e contratos de investimentos significativos que incluam cláusulas referentes a direitos humanos ou que foram submetidos a avaliações referentes a direitos humanos</w:t>
            </w:r>
          </w:p>
        </w:tc>
      </w:tr>
      <w:tr w:rsidR="00D22EFF" w:rsidRPr="00D22D69" w14:paraId="3151BFC4" w14:textId="77777777" w:rsidTr="00D22EFF">
        <w:trPr>
          <w:trHeight w:val="600"/>
        </w:trPr>
        <w:tc>
          <w:tcPr>
            <w:tcW w:w="1707" w:type="dxa"/>
            <w:vMerge w:val="restart"/>
            <w:shd w:val="clear" w:color="auto" w:fill="auto"/>
            <w:hideMark/>
          </w:tcPr>
          <w:p w14:paraId="0C00CC1C" w14:textId="77777777" w:rsidR="00D22EFF" w:rsidRPr="00D22D69" w:rsidRDefault="00D22EFF" w:rsidP="002745DF">
            <w:pPr>
              <w:spacing w:line="240" w:lineRule="auto"/>
              <w:jc w:val="center"/>
              <w:rPr>
                <w:rFonts w:ascii="Times New Roman" w:hAnsi="Times New Roman" w:cs="Times New Roman"/>
                <w:b/>
                <w:bCs/>
                <w:color w:val="000000"/>
              </w:rPr>
            </w:pPr>
            <w:r w:rsidRPr="00D22D69">
              <w:rPr>
                <w:rFonts w:ascii="Times New Roman" w:hAnsi="Times New Roman" w:cs="Times New Roman"/>
                <w:b/>
                <w:bCs/>
                <w:color w:val="000000"/>
              </w:rPr>
              <w:t>Comunidades locais</w:t>
            </w:r>
          </w:p>
        </w:tc>
        <w:tc>
          <w:tcPr>
            <w:tcW w:w="1400" w:type="dxa"/>
            <w:shd w:val="clear" w:color="auto" w:fill="auto"/>
            <w:noWrap/>
            <w:hideMark/>
          </w:tcPr>
          <w:p w14:paraId="15A30FAA" w14:textId="77777777" w:rsidR="00D22EFF" w:rsidRPr="00D22D69" w:rsidRDefault="00D22EFF"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413-1</w:t>
            </w:r>
          </w:p>
        </w:tc>
        <w:tc>
          <w:tcPr>
            <w:tcW w:w="6173" w:type="dxa"/>
            <w:shd w:val="clear" w:color="auto" w:fill="auto"/>
            <w:hideMark/>
          </w:tcPr>
          <w:p w14:paraId="2B9C96CB" w14:textId="77777777" w:rsidR="00D22EFF" w:rsidRPr="00D22D69" w:rsidRDefault="00D22EFF"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Operações com envolvimento da comunidade local, avaliações de impacto e programas de desenvolvimento</w:t>
            </w:r>
          </w:p>
        </w:tc>
      </w:tr>
      <w:tr w:rsidR="00D22EFF" w:rsidRPr="00D22D69" w14:paraId="457B6E57" w14:textId="77777777" w:rsidTr="00D22EFF">
        <w:trPr>
          <w:trHeight w:val="615"/>
        </w:trPr>
        <w:tc>
          <w:tcPr>
            <w:tcW w:w="1707" w:type="dxa"/>
            <w:vMerge/>
            <w:shd w:val="clear" w:color="auto" w:fill="auto"/>
            <w:hideMark/>
          </w:tcPr>
          <w:p w14:paraId="283689C3" w14:textId="77777777" w:rsidR="00D22EFF" w:rsidRPr="00D22D69" w:rsidRDefault="00D22EFF" w:rsidP="002745DF">
            <w:pPr>
              <w:spacing w:line="240" w:lineRule="auto"/>
              <w:jc w:val="left"/>
              <w:rPr>
                <w:rFonts w:ascii="Times New Roman" w:hAnsi="Times New Roman" w:cs="Times New Roman"/>
                <w:b/>
                <w:bCs/>
                <w:color w:val="000000"/>
              </w:rPr>
            </w:pPr>
          </w:p>
        </w:tc>
        <w:tc>
          <w:tcPr>
            <w:tcW w:w="1400" w:type="dxa"/>
            <w:shd w:val="clear" w:color="auto" w:fill="auto"/>
            <w:noWrap/>
            <w:hideMark/>
          </w:tcPr>
          <w:p w14:paraId="4F4FC339" w14:textId="77777777" w:rsidR="00D22EFF" w:rsidRPr="00D22D69" w:rsidRDefault="00D22EFF"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413-2</w:t>
            </w:r>
          </w:p>
        </w:tc>
        <w:tc>
          <w:tcPr>
            <w:tcW w:w="6173" w:type="dxa"/>
            <w:shd w:val="clear" w:color="auto" w:fill="auto"/>
            <w:hideMark/>
          </w:tcPr>
          <w:p w14:paraId="42014330" w14:textId="77777777" w:rsidR="00D22EFF" w:rsidRPr="00D22D69" w:rsidRDefault="00D22EFF"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Operações com impactos negativos significativos reais e potenciais nas comunidades locais</w:t>
            </w:r>
          </w:p>
        </w:tc>
      </w:tr>
      <w:tr w:rsidR="00D22EFF" w:rsidRPr="00D22D69" w14:paraId="4BB634A6" w14:textId="77777777" w:rsidTr="00D22EFF">
        <w:trPr>
          <w:trHeight w:val="615"/>
        </w:trPr>
        <w:tc>
          <w:tcPr>
            <w:tcW w:w="1707" w:type="dxa"/>
            <w:vMerge/>
            <w:shd w:val="clear" w:color="auto" w:fill="auto"/>
          </w:tcPr>
          <w:p w14:paraId="7201D607" w14:textId="77777777" w:rsidR="00D22EFF" w:rsidRPr="00D22D69" w:rsidRDefault="00D22EFF" w:rsidP="002745DF">
            <w:pPr>
              <w:spacing w:line="240" w:lineRule="auto"/>
              <w:jc w:val="left"/>
              <w:rPr>
                <w:rFonts w:ascii="Times New Roman" w:hAnsi="Times New Roman" w:cs="Times New Roman"/>
                <w:b/>
                <w:bCs/>
                <w:color w:val="000000"/>
              </w:rPr>
            </w:pPr>
          </w:p>
        </w:tc>
        <w:tc>
          <w:tcPr>
            <w:tcW w:w="1400" w:type="dxa"/>
            <w:shd w:val="clear" w:color="auto" w:fill="auto"/>
            <w:noWrap/>
          </w:tcPr>
          <w:p w14:paraId="4B7CCCD8" w14:textId="416A5B34" w:rsidR="00D22EFF" w:rsidRPr="00D22D69" w:rsidRDefault="00D22EFF" w:rsidP="002745DF">
            <w:pPr>
              <w:spacing w:line="240" w:lineRule="auto"/>
              <w:jc w:val="center"/>
              <w:rPr>
                <w:rFonts w:ascii="Times New Roman" w:hAnsi="Times New Roman" w:cs="Times New Roman"/>
                <w:color w:val="000000"/>
              </w:rPr>
            </w:pPr>
            <w:r>
              <w:rPr>
                <w:rFonts w:ascii="Times New Roman" w:hAnsi="Times New Roman" w:cs="Times New Roman"/>
                <w:color w:val="000000"/>
              </w:rPr>
              <w:t>413-3X</w:t>
            </w:r>
          </w:p>
        </w:tc>
        <w:tc>
          <w:tcPr>
            <w:tcW w:w="6173" w:type="dxa"/>
            <w:shd w:val="clear" w:color="auto" w:fill="auto"/>
          </w:tcPr>
          <w:p w14:paraId="0DCB4F84" w14:textId="7BE3637B" w:rsidR="00D22EFF" w:rsidRPr="00D22D69" w:rsidRDefault="00D22EFF" w:rsidP="002745DF">
            <w:pPr>
              <w:spacing w:line="240" w:lineRule="auto"/>
              <w:jc w:val="center"/>
              <w:rPr>
                <w:rFonts w:ascii="Times New Roman" w:hAnsi="Times New Roman" w:cs="Times New Roman"/>
                <w:color w:val="000000"/>
              </w:rPr>
            </w:pPr>
            <w:r>
              <w:rPr>
                <w:rFonts w:ascii="Times New Roman" w:hAnsi="Times New Roman" w:cs="Times New Roman"/>
                <w:color w:val="000000"/>
              </w:rPr>
              <w:t>N</w:t>
            </w:r>
            <w:r w:rsidRPr="00D22EFF">
              <w:rPr>
                <w:rFonts w:ascii="Times New Roman" w:hAnsi="Times New Roman" w:cs="Times New Roman"/>
                <w:color w:val="000000"/>
              </w:rPr>
              <w:t>úmero de pessoas voluntária e involuntariamente deslocado e / ou reembolsado por desenvolvimento, dividido por projeto</w:t>
            </w:r>
          </w:p>
        </w:tc>
      </w:tr>
      <w:tr w:rsidR="00D22D69" w:rsidRPr="00D22D69" w14:paraId="3E218E12" w14:textId="77777777" w:rsidTr="00D22EFF">
        <w:trPr>
          <w:trHeight w:val="300"/>
        </w:trPr>
        <w:tc>
          <w:tcPr>
            <w:tcW w:w="1707" w:type="dxa"/>
            <w:vMerge w:val="restart"/>
            <w:shd w:val="clear" w:color="auto" w:fill="auto"/>
            <w:hideMark/>
          </w:tcPr>
          <w:p w14:paraId="2B44DAA5" w14:textId="77777777" w:rsidR="00D22D69" w:rsidRPr="00D22D69" w:rsidRDefault="00D22D69" w:rsidP="002745DF">
            <w:pPr>
              <w:spacing w:line="240" w:lineRule="auto"/>
              <w:jc w:val="center"/>
              <w:rPr>
                <w:rFonts w:ascii="Times New Roman" w:hAnsi="Times New Roman" w:cs="Times New Roman"/>
                <w:b/>
                <w:bCs/>
              </w:rPr>
            </w:pPr>
            <w:r w:rsidRPr="00D22D69">
              <w:rPr>
                <w:rFonts w:ascii="Times New Roman" w:hAnsi="Times New Roman" w:cs="Times New Roman"/>
                <w:b/>
                <w:bCs/>
              </w:rPr>
              <w:t>Avaliação Social Fornecedores</w:t>
            </w:r>
          </w:p>
        </w:tc>
        <w:tc>
          <w:tcPr>
            <w:tcW w:w="1400" w:type="dxa"/>
            <w:shd w:val="clear" w:color="auto" w:fill="auto"/>
            <w:noWrap/>
            <w:hideMark/>
          </w:tcPr>
          <w:p w14:paraId="0B84BA05"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414-1</w:t>
            </w:r>
          </w:p>
        </w:tc>
        <w:tc>
          <w:tcPr>
            <w:tcW w:w="6173" w:type="dxa"/>
            <w:shd w:val="clear" w:color="auto" w:fill="auto"/>
            <w:hideMark/>
          </w:tcPr>
          <w:p w14:paraId="7DE10FA1"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Novos fornecedores que foram selecionados usando critérios sociais</w:t>
            </w:r>
          </w:p>
        </w:tc>
      </w:tr>
      <w:tr w:rsidR="00D22D69" w:rsidRPr="00D22D69" w14:paraId="51AB0087" w14:textId="77777777" w:rsidTr="00D22EFF">
        <w:trPr>
          <w:trHeight w:val="315"/>
        </w:trPr>
        <w:tc>
          <w:tcPr>
            <w:tcW w:w="1707" w:type="dxa"/>
            <w:vMerge/>
            <w:shd w:val="clear" w:color="auto" w:fill="auto"/>
            <w:hideMark/>
          </w:tcPr>
          <w:p w14:paraId="285428AD" w14:textId="77777777" w:rsidR="00D22D69" w:rsidRPr="00D22D69" w:rsidRDefault="00D22D69" w:rsidP="002745DF">
            <w:pPr>
              <w:spacing w:line="240" w:lineRule="auto"/>
              <w:jc w:val="left"/>
              <w:rPr>
                <w:rFonts w:ascii="Times New Roman" w:hAnsi="Times New Roman" w:cs="Times New Roman"/>
                <w:b/>
                <w:bCs/>
              </w:rPr>
            </w:pPr>
          </w:p>
        </w:tc>
        <w:tc>
          <w:tcPr>
            <w:tcW w:w="1400" w:type="dxa"/>
            <w:shd w:val="clear" w:color="auto" w:fill="auto"/>
            <w:noWrap/>
            <w:hideMark/>
          </w:tcPr>
          <w:p w14:paraId="3FA92A0C"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414-2</w:t>
            </w:r>
          </w:p>
        </w:tc>
        <w:tc>
          <w:tcPr>
            <w:tcW w:w="6173" w:type="dxa"/>
            <w:shd w:val="clear" w:color="auto" w:fill="auto"/>
            <w:hideMark/>
          </w:tcPr>
          <w:p w14:paraId="57BEE6D9"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Impactos sociais negativos na cadeia de suprimentos e ações tomadas</w:t>
            </w:r>
          </w:p>
        </w:tc>
      </w:tr>
      <w:tr w:rsidR="00D22D69" w:rsidRPr="00D22D69" w14:paraId="7A17ABE6" w14:textId="77777777" w:rsidTr="00D22EFF">
        <w:trPr>
          <w:trHeight w:val="570"/>
        </w:trPr>
        <w:tc>
          <w:tcPr>
            <w:tcW w:w="1707" w:type="dxa"/>
            <w:shd w:val="clear" w:color="auto" w:fill="auto"/>
            <w:hideMark/>
          </w:tcPr>
          <w:p w14:paraId="284011E3" w14:textId="77777777" w:rsidR="00D22D69" w:rsidRPr="00D22D69" w:rsidRDefault="00D22D69" w:rsidP="002745DF">
            <w:pPr>
              <w:spacing w:line="240" w:lineRule="auto"/>
              <w:jc w:val="center"/>
              <w:rPr>
                <w:rFonts w:ascii="Times New Roman" w:hAnsi="Times New Roman" w:cs="Times New Roman"/>
                <w:b/>
                <w:bCs/>
              </w:rPr>
            </w:pPr>
            <w:r w:rsidRPr="00D22D69">
              <w:rPr>
                <w:rFonts w:ascii="Times New Roman" w:hAnsi="Times New Roman" w:cs="Times New Roman"/>
                <w:b/>
                <w:bCs/>
              </w:rPr>
              <w:lastRenderedPageBreak/>
              <w:t>Políticas públicas</w:t>
            </w:r>
          </w:p>
        </w:tc>
        <w:tc>
          <w:tcPr>
            <w:tcW w:w="1400" w:type="dxa"/>
            <w:shd w:val="clear" w:color="auto" w:fill="auto"/>
            <w:noWrap/>
            <w:hideMark/>
          </w:tcPr>
          <w:p w14:paraId="3CFAF8F2"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415-1</w:t>
            </w:r>
          </w:p>
        </w:tc>
        <w:tc>
          <w:tcPr>
            <w:tcW w:w="6173" w:type="dxa"/>
            <w:shd w:val="clear" w:color="auto" w:fill="auto"/>
            <w:hideMark/>
          </w:tcPr>
          <w:p w14:paraId="032D40B2"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Contribuições Políticas</w:t>
            </w:r>
          </w:p>
        </w:tc>
      </w:tr>
      <w:tr w:rsidR="00D22D69" w:rsidRPr="00D22D69" w14:paraId="14A47967" w14:textId="77777777" w:rsidTr="00D22EFF">
        <w:trPr>
          <w:trHeight w:val="600"/>
        </w:trPr>
        <w:tc>
          <w:tcPr>
            <w:tcW w:w="1707" w:type="dxa"/>
            <w:vMerge w:val="restart"/>
            <w:shd w:val="clear" w:color="auto" w:fill="auto"/>
            <w:hideMark/>
          </w:tcPr>
          <w:p w14:paraId="792AA272" w14:textId="77777777" w:rsidR="00D22D69" w:rsidRPr="00D22D69" w:rsidRDefault="00D22D69" w:rsidP="002745DF">
            <w:pPr>
              <w:spacing w:line="240" w:lineRule="auto"/>
              <w:jc w:val="center"/>
              <w:rPr>
                <w:rFonts w:ascii="Times New Roman" w:hAnsi="Times New Roman" w:cs="Times New Roman"/>
                <w:b/>
                <w:bCs/>
              </w:rPr>
            </w:pPr>
            <w:r w:rsidRPr="00D22D69">
              <w:rPr>
                <w:rFonts w:ascii="Times New Roman" w:hAnsi="Times New Roman" w:cs="Times New Roman"/>
                <w:b/>
                <w:bCs/>
              </w:rPr>
              <w:t>Saúde e Segurança do Cliente</w:t>
            </w:r>
          </w:p>
        </w:tc>
        <w:tc>
          <w:tcPr>
            <w:tcW w:w="1400" w:type="dxa"/>
            <w:shd w:val="clear" w:color="auto" w:fill="auto"/>
            <w:noWrap/>
            <w:hideMark/>
          </w:tcPr>
          <w:p w14:paraId="73A6E4F9"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416-1</w:t>
            </w:r>
          </w:p>
        </w:tc>
        <w:tc>
          <w:tcPr>
            <w:tcW w:w="6173" w:type="dxa"/>
            <w:shd w:val="clear" w:color="auto" w:fill="auto"/>
            <w:hideMark/>
          </w:tcPr>
          <w:p w14:paraId="64AB2482"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Avaliação dos impactos na saúde e segurança de categorias de produtos e serviços</w:t>
            </w:r>
          </w:p>
        </w:tc>
      </w:tr>
      <w:tr w:rsidR="00D22D69" w:rsidRPr="00D22D69" w14:paraId="086B5306" w14:textId="77777777" w:rsidTr="00D22EFF">
        <w:trPr>
          <w:trHeight w:val="615"/>
        </w:trPr>
        <w:tc>
          <w:tcPr>
            <w:tcW w:w="1707" w:type="dxa"/>
            <w:vMerge/>
            <w:shd w:val="clear" w:color="auto" w:fill="auto"/>
            <w:hideMark/>
          </w:tcPr>
          <w:p w14:paraId="04D226A9" w14:textId="77777777" w:rsidR="00D22D69" w:rsidRPr="00D22D69" w:rsidRDefault="00D22D69" w:rsidP="002745DF">
            <w:pPr>
              <w:spacing w:line="240" w:lineRule="auto"/>
              <w:jc w:val="left"/>
              <w:rPr>
                <w:rFonts w:ascii="Times New Roman" w:hAnsi="Times New Roman" w:cs="Times New Roman"/>
                <w:b/>
                <w:bCs/>
              </w:rPr>
            </w:pPr>
          </w:p>
        </w:tc>
        <w:tc>
          <w:tcPr>
            <w:tcW w:w="1400" w:type="dxa"/>
            <w:shd w:val="clear" w:color="auto" w:fill="auto"/>
            <w:noWrap/>
            <w:hideMark/>
          </w:tcPr>
          <w:p w14:paraId="0D21C464"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416-2</w:t>
            </w:r>
          </w:p>
        </w:tc>
        <w:tc>
          <w:tcPr>
            <w:tcW w:w="6173" w:type="dxa"/>
            <w:shd w:val="clear" w:color="auto" w:fill="auto"/>
            <w:hideMark/>
          </w:tcPr>
          <w:p w14:paraId="6377DD22"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Incidentes de não conformidade relativos a impactos na saúde e segurança de produtos e serviços</w:t>
            </w:r>
          </w:p>
        </w:tc>
      </w:tr>
      <w:tr w:rsidR="00D22EFF" w:rsidRPr="00D22D69" w14:paraId="771BE00A" w14:textId="77777777" w:rsidTr="00D22EFF">
        <w:trPr>
          <w:trHeight w:val="300"/>
        </w:trPr>
        <w:tc>
          <w:tcPr>
            <w:tcW w:w="1707" w:type="dxa"/>
            <w:vMerge w:val="restart"/>
            <w:shd w:val="clear" w:color="auto" w:fill="auto"/>
            <w:hideMark/>
          </w:tcPr>
          <w:p w14:paraId="185CAF5A" w14:textId="77777777" w:rsidR="00D22EFF" w:rsidRPr="00D22D69" w:rsidRDefault="00D22EFF" w:rsidP="002745DF">
            <w:pPr>
              <w:spacing w:line="240" w:lineRule="auto"/>
              <w:jc w:val="center"/>
              <w:rPr>
                <w:rFonts w:ascii="Times New Roman" w:hAnsi="Times New Roman" w:cs="Times New Roman"/>
                <w:b/>
                <w:bCs/>
              </w:rPr>
            </w:pPr>
            <w:r w:rsidRPr="00D22D69">
              <w:rPr>
                <w:rFonts w:ascii="Times New Roman" w:hAnsi="Times New Roman" w:cs="Times New Roman"/>
                <w:b/>
                <w:bCs/>
              </w:rPr>
              <w:t>Marketing e Rotulagem</w:t>
            </w:r>
          </w:p>
        </w:tc>
        <w:tc>
          <w:tcPr>
            <w:tcW w:w="1400" w:type="dxa"/>
            <w:shd w:val="clear" w:color="auto" w:fill="auto"/>
            <w:noWrap/>
            <w:hideMark/>
          </w:tcPr>
          <w:p w14:paraId="36BFBC94" w14:textId="77777777" w:rsidR="00D22EFF" w:rsidRPr="00D22D69" w:rsidRDefault="00D22EFF"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417-1</w:t>
            </w:r>
          </w:p>
        </w:tc>
        <w:tc>
          <w:tcPr>
            <w:tcW w:w="6173" w:type="dxa"/>
            <w:shd w:val="clear" w:color="auto" w:fill="auto"/>
            <w:hideMark/>
          </w:tcPr>
          <w:p w14:paraId="74B24C09" w14:textId="77777777" w:rsidR="00D22EFF" w:rsidRPr="00D22D69" w:rsidRDefault="00D22EFF"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Requisitos para informações e rotulagem de produtos e serviços</w:t>
            </w:r>
          </w:p>
        </w:tc>
      </w:tr>
      <w:tr w:rsidR="00D22EFF" w:rsidRPr="00D22D69" w14:paraId="6B6D840B" w14:textId="77777777" w:rsidTr="00D22EFF">
        <w:trPr>
          <w:trHeight w:val="600"/>
        </w:trPr>
        <w:tc>
          <w:tcPr>
            <w:tcW w:w="1707" w:type="dxa"/>
            <w:vMerge/>
            <w:shd w:val="clear" w:color="auto" w:fill="auto"/>
            <w:hideMark/>
          </w:tcPr>
          <w:p w14:paraId="036ED9B2" w14:textId="77777777" w:rsidR="00D22EFF" w:rsidRPr="00D22D69" w:rsidRDefault="00D22EFF" w:rsidP="002745DF">
            <w:pPr>
              <w:spacing w:line="240" w:lineRule="auto"/>
              <w:jc w:val="left"/>
              <w:rPr>
                <w:rFonts w:ascii="Times New Roman" w:hAnsi="Times New Roman" w:cs="Times New Roman"/>
                <w:b/>
                <w:bCs/>
              </w:rPr>
            </w:pPr>
          </w:p>
        </w:tc>
        <w:tc>
          <w:tcPr>
            <w:tcW w:w="1400" w:type="dxa"/>
            <w:shd w:val="clear" w:color="auto" w:fill="auto"/>
            <w:noWrap/>
            <w:hideMark/>
          </w:tcPr>
          <w:p w14:paraId="4EA23118" w14:textId="77777777" w:rsidR="00D22EFF" w:rsidRPr="00D22D69" w:rsidRDefault="00D22EFF"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417-2</w:t>
            </w:r>
          </w:p>
        </w:tc>
        <w:tc>
          <w:tcPr>
            <w:tcW w:w="6173" w:type="dxa"/>
            <w:shd w:val="clear" w:color="auto" w:fill="auto"/>
            <w:hideMark/>
          </w:tcPr>
          <w:p w14:paraId="3F423EBC" w14:textId="77777777" w:rsidR="00D22EFF" w:rsidRPr="00D22D69" w:rsidRDefault="00D22EFF"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Incidentes de não conformidade relativos a informações e rotulagem de produtos e serviços</w:t>
            </w:r>
          </w:p>
        </w:tc>
      </w:tr>
      <w:tr w:rsidR="00D22EFF" w:rsidRPr="00D22D69" w14:paraId="56B7C433" w14:textId="77777777" w:rsidTr="00D22EFF">
        <w:trPr>
          <w:trHeight w:val="300"/>
        </w:trPr>
        <w:tc>
          <w:tcPr>
            <w:tcW w:w="1707" w:type="dxa"/>
            <w:vMerge/>
            <w:shd w:val="clear" w:color="auto" w:fill="auto"/>
            <w:hideMark/>
          </w:tcPr>
          <w:p w14:paraId="636F7A5A" w14:textId="77777777" w:rsidR="00D22EFF" w:rsidRPr="00D22D69" w:rsidRDefault="00D22EFF" w:rsidP="002745DF">
            <w:pPr>
              <w:spacing w:line="240" w:lineRule="auto"/>
              <w:jc w:val="left"/>
              <w:rPr>
                <w:rFonts w:ascii="Times New Roman" w:hAnsi="Times New Roman" w:cs="Times New Roman"/>
                <w:b/>
                <w:bCs/>
              </w:rPr>
            </w:pPr>
          </w:p>
        </w:tc>
        <w:tc>
          <w:tcPr>
            <w:tcW w:w="1400" w:type="dxa"/>
            <w:shd w:val="clear" w:color="auto" w:fill="auto"/>
            <w:noWrap/>
            <w:hideMark/>
          </w:tcPr>
          <w:p w14:paraId="46B5BF50" w14:textId="77777777" w:rsidR="00D22EFF" w:rsidRPr="00D22D69" w:rsidRDefault="00D22EFF"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417-3</w:t>
            </w:r>
          </w:p>
        </w:tc>
        <w:tc>
          <w:tcPr>
            <w:tcW w:w="6173" w:type="dxa"/>
            <w:shd w:val="clear" w:color="auto" w:fill="auto"/>
            <w:hideMark/>
          </w:tcPr>
          <w:p w14:paraId="45793A20" w14:textId="77777777" w:rsidR="00D22EFF" w:rsidRPr="00D22D69" w:rsidRDefault="00D22EFF"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Incidentes de não conformidade relativos a comunicações de marketing</w:t>
            </w:r>
          </w:p>
        </w:tc>
      </w:tr>
      <w:tr w:rsidR="00D22EFF" w:rsidRPr="00D22D69" w14:paraId="40917869" w14:textId="77777777" w:rsidTr="00D22EFF">
        <w:trPr>
          <w:trHeight w:val="300"/>
        </w:trPr>
        <w:tc>
          <w:tcPr>
            <w:tcW w:w="1707" w:type="dxa"/>
            <w:vMerge/>
            <w:shd w:val="clear" w:color="auto" w:fill="auto"/>
          </w:tcPr>
          <w:p w14:paraId="7D6394A3" w14:textId="77777777" w:rsidR="00D22EFF" w:rsidRPr="00D22D69" w:rsidRDefault="00D22EFF" w:rsidP="002745DF">
            <w:pPr>
              <w:spacing w:line="240" w:lineRule="auto"/>
              <w:jc w:val="left"/>
              <w:rPr>
                <w:rFonts w:ascii="Times New Roman" w:hAnsi="Times New Roman" w:cs="Times New Roman"/>
                <w:b/>
                <w:bCs/>
              </w:rPr>
            </w:pPr>
          </w:p>
        </w:tc>
        <w:tc>
          <w:tcPr>
            <w:tcW w:w="1400" w:type="dxa"/>
            <w:shd w:val="clear" w:color="auto" w:fill="auto"/>
            <w:noWrap/>
          </w:tcPr>
          <w:p w14:paraId="704A2833" w14:textId="47E6C1A5" w:rsidR="00D22EFF" w:rsidRPr="00D22D69" w:rsidRDefault="00D22EFF" w:rsidP="002745DF">
            <w:pPr>
              <w:spacing w:line="240" w:lineRule="auto"/>
              <w:jc w:val="center"/>
              <w:rPr>
                <w:rFonts w:ascii="Times New Roman" w:hAnsi="Times New Roman" w:cs="Times New Roman"/>
                <w:color w:val="000000"/>
              </w:rPr>
            </w:pPr>
            <w:r>
              <w:rPr>
                <w:rFonts w:ascii="Times New Roman" w:hAnsi="Times New Roman" w:cs="Times New Roman"/>
                <w:color w:val="000000"/>
              </w:rPr>
              <w:t>417-4X</w:t>
            </w:r>
          </w:p>
        </w:tc>
        <w:tc>
          <w:tcPr>
            <w:tcW w:w="6173" w:type="dxa"/>
            <w:shd w:val="clear" w:color="auto" w:fill="auto"/>
          </w:tcPr>
          <w:p w14:paraId="67F51773" w14:textId="3BF3AD8C" w:rsidR="00D22EFF" w:rsidRPr="00D22D69" w:rsidRDefault="00D22EFF" w:rsidP="00D22EFF">
            <w:pPr>
              <w:spacing w:line="240" w:lineRule="auto"/>
              <w:jc w:val="center"/>
              <w:rPr>
                <w:rFonts w:ascii="Times New Roman" w:hAnsi="Times New Roman" w:cs="Times New Roman"/>
                <w:color w:val="000000"/>
              </w:rPr>
            </w:pPr>
            <w:r>
              <w:rPr>
                <w:rFonts w:ascii="Times New Roman" w:hAnsi="Times New Roman" w:cs="Times New Roman"/>
                <w:color w:val="000000"/>
              </w:rPr>
              <w:t>T</w:t>
            </w:r>
            <w:r w:rsidRPr="00D22EFF">
              <w:rPr>
                <w:rFonts w:ascii="Times New Roman" w:hAnsi="Times New Roman" w:cs="Times New Roman"/>
                <w:color w:val="000000"/>
              </w:rPr>
              <w:t>ipo e número de certificação de sustentabilidade, níveis de rating e rotulagem para nova construção, gestão, ocupação e de</w:t>
            </w:r>
            <w:r>
              <w:rPr>
                <w:rFonts w:ascii="Times New Roman" w:hAnsi="Times New Roman" w:cs="Times New Roman"/>
                <w:color w:val="000000"/>
              </w:rPr>
              <w:t>sen</w:t>
            </w:r>
            <w:r w:rsidRPr="00D22EFF">
              <w:rPr>
                <w:rFonts w:ascii="Times New Roman" w:hAnsi="Times New Roman" w:cs="Times New Roman"/>
                <w:color w:val="000000"/>
              </w:rPr>
              <w:t>volvimento</w:t>
            </w:r>
          </w:p>
        </w:tc>
      </w:tr>
      <w:tr w:rsidR="00D22D69" w:rsidRPr="00D22D69" w14:paraId="1050FCBC" w14:textId="77777777" w:rsidTr="00D22EFF">
        <w:trPr>
          <w:trHeight w:val="615"/>
        </w:trPr>
        <w:tc>
          <w:tcPr>
            <w:tcW w:w="1707" w:type="dxa"/>
            <w:shd w:val="clear" w:color="auto" w:fill="auto"/>
            <w:hideMark/>
          </w:tcPr>
          <w:p w14:paraId="62EECBEA" w14:textId="77777777" w:rsidR="00D22D69" w:rsidRPr="00D22D69" w:rsidRDefault="00D22D69" w:rsidP="002745DF">
            <w:pPr>
              <w:spacing w:line="240" w:lineRule="auto"/>
              <w:jc w:val="center"/>
              <w:rPr>
                <w:rFonts w:ascii="Times New Roman" w:hAnsi="Times New Roman" w:cs="Times New Roman"/>
                <w:b/>
                <w:bCs/>
              </w:rPr>
            </w:pPr>
            <w:r w:rsidRPr="00D22D69">
              <w:rPr>
                <w:rFonts w:ascii="Times New Roman" w:hAnsi="Times New Roman" w:cs="Times New Roman"/>
                <w:b/>
                <w:bCs/>
              </w:rPr>
              <w:t>Privacidade do cliente</w:t>
            </w:r>
          </w:p>
        </w:tc>
        <w:tc>
          <w:tcPr>
            <w:tcW w:w="1400" w:type="dxa"/>
            <w:shd w:val="clear" w:color="auto" w:fill="auto"/>
            <w:noWrap/>
            <w:hideMark/>
          </w:tcPr>
          <w:p w14:paraId="7E11C5B7"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418-1</w:t>
            </w:r>
          </w:p>
        </w:tc>
        <w:tc>
          <w:tcPr>
            <w:tcW w:w="6173" w:type="dxa"/>
            <w:shd w:val="clear" w:color="auto" w:fill="auto"/>
            <w:hideMark/>
          </w:tcPr>
          <w:p w14:paraId="0ADB0B66"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Reclamações comprovadas relativas a violação de privacidade e perda de dados de clientes</w:t>
            </w:r>
          </w:p>
        </w:tc>
      </w:tr>
      <w:tr w:rsidR="00D22D69" w:rsidRPr="00D22D69" w14:paraId="66B2D6A2" w14:textId="77777777" w:rsidTr="00D22EFF">
        <w:trPr>
          <w:trHeight w:val="870"/>
        </w:trPr>
        <w:tc>
          <w:tcPr>
            <w:tcW w:w="1707" w:type="dxa"/>
            <w:shd w:val="clear" w:color="auto" w:fill="auto"/>
            <w:hideMark/>
          </w:tcPr>
          <w:p w14:paraId="0DFC6003" w14:textId="77777777" w:rsidR="00D22D69" w:rsidRPr="00D22D69" w:rsidRDefault="00D22D69" w:rsidP="002745DF">
            <w:pPr>
              <w:spacing w:line="240" w:lineRule="auto"/>
              <w:jc w:val="center"/>
              <w:rPr>
                <w:rFonts w:ascii="Times New Roman" w:hAnsi="Times New Roman" w:cs="Times New Roman"/>
                <w:b/>
                <w:bCs/>
              </w:rPr>
            </w:pPr>
            <w:r w:rsidRPr="00D22D69">
              <w:rPr>
                <w:rFonts w:ascii="Times New Roman" w:hAnsi="Times New Roman" w:cs="Times New Roman"/>
                <w:b/>
                <w:bCs/>
              </w:rPr>
              <w:t>Conformidade Socioeconômica</w:t>
            </w:r>
          </w:p>
        </w:tc>
        <w:tc>
          <w:tcPr>
            <w:tcW w:w="1400" w:type="dxa"/>
            <w:shd w:val="clear" w:color="auto" w:fill="auto"/>
            <w:noWrap/>
            <w:hideMark/>
          </w:tcPr>
          <w:p w14:paraId="25FC10E8"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419-1</w:t>
            </w:r>
          </w:p>
        </w:tc>
        <w:tc>
          <w:tcPr>
            <w:tcW w:w="6173" w:type="dxa"/>
            <w:shd w:val="clear" w:color="auto" w:fill="auto"/>
            <w:hideMark/>
          </w:tcPr>
          <w:p w14:paraId="52216880" w14:textId="77777777" w:rsidR="00D22D69" w:rsidRPr="00D22D69" w:rsidRDefault="00D22D69" w:rsidP="002745DF">
            <w:pPr>
              <w:spacing w:line="240" w:lineRule="auto"/>
              <w:jc w:val="center"/>
              <w:rPr>
                <w:rFonts w:ascii="Times New Roman" w:hAnsi="Times New Roman" w:cs="Times New Roman"/>
                <w:color w:val="000000"/>
              </w:rPr>
            </w:pPr>
            <w:r w:rsidRPr="00D22D69">
              <w:rPr>
                <w:rFonts w:ascii="Times New Roman" w:hAnsi="Times New Roman" w:cs="Times New Roman"/>
                <w:color w:val="000000"/>
              </w:rPr>
              <w:t>Não cumprimento de leis e regulamentos na área social e econômica</w:t>
            </w:r>
          </w:p>
        </w:tc>
      </w:tr>
    </w:tbl>
    <w:p w14:paraId="75E0E069" w14:textId="77777777" w:rsidR="00D22D69" w:rsidRDefault="00D22D69" w:rsidP="00D22D69">
      <w:pPr>
        <w:pStyle w:val="Figura"/>
      </w:pPr>
      <w:r>
        <w:t xml:space="preserve">Fonte: Adaptado de </w:t>
      </w:r>
      <w:r>
        <w:fldChar w:fldCharType="begin" w:fldLock="1"/>
      </w:r>
      <w:r>
        <w:instrText>ADDIN CSL_CITATION {"citationItems":[{"id":"ITEM-1","itemData":{"ISBN":"9781921114069","abstract":"Zero Waste SA, established by the Zero Waste SA Act 2004, provides strategic policy advice and direction to government and stakeholders. It undertakes programs and projects that maximise waste reduction and promote recycling and sustainability. It engages with the community, business and government, building partnerships for change.","author":[{"dropping-particle":"","family":"Global Reporting Initiative","given":"","non-dropping-particle":"","parse-names":false,"suffix":""}],"container-title":"GRI Standards","id":"ITEM-1","issued":{"date-parts":[["2016"]]},"title":"GRI 401: Employment","type":"article-journal"},"uris":["http://www.mendeley.com/documents/?uuid=1af1e825-9399-428b-82e0-779b459e78f4"]},{"id":"ITEM-2","itemData":{"author":[{"dropping-particle":"","family":"Global Reporting Initiative","given":"","non-dropping-particle":"","parse-names":false,"suffix":""}],"id":"ITEM-2","issued":{"date-parts":[["2018"]]},"page":"1-8","title":"GRI 402: Labor/Management Relations","type":"article-journal"},"uris":["http://www.mendeley.com/documents/?uuid=190a3a93-71e4-4349-8d89-d556665815a2"]},{"id":"ITEM-3","itemData":{"author":[{"dropping-particle":"","family":"Global Reporting Initiative","given":"","non-dropping-particle":"","parse-names":false,"suffix":""}],"id":"ITEM-3","issued":{"date-parts":[["2018"]]},"title":"GRI 403: Occupational health and safety","type":"article-journal"},"uris":["http://www.mendeley.com/documents/?uuid=24884da0-d1ad-4fc4-937d-d690f4c4ed6c"]},{"id":"ITEM-4","itemData":{"ISBN":"978-90-8866-056-6","abstract":"This document is the Foundation section of the GRI G4 Standard","author":[{"dropping-particle":"","family":"Global Reporting Initiative","given":"","non-dropping-particle":"","parse-names":false,"suffix":""}],"container-title":"GRI Global","id":"ITEM-4","issue":"1","issued":{"date-parts":[["2016"]]},"page":"13","title":"GRI 404: Training and education","type":"article-journal","volume":"GRI101"},"uris":["http://www.mendeley.com/documents/?uuid=bc231cff-cf66-4dbd-a6fe-a0be523cef33"]},{"id":"ITEM-5","itemData":{"author":[{"dropping-particle":"","family":"Global Reporting Initiative","given":"","non-dropping-particle":"","parse-names":false,"suffix":""}],"container-title":"GRI Standards","id":"ITEM-5","issued":{"date-parts":[["2016"]]},"title":"GRI 405: Diversity and equal opportunity","type":"article-journal"},"uris":["http://www.mendeley.com/documents/?uuid=786bdd60-06e3-4485-ac82-b5160139d8c8"]},{"id":"ITEM-6","itemData":{"author":[{"dropping-particle":"","family":"Global Reporting Initiative","given":"","non-dropping-particle":"","parse-names":false,"suffix":""}],"id":"ITEM-6","issued":{"date-parts":[["2016"]]},"title":"GRI 406: No discrimination","type":"article-journal"},"uris":["http://www.mendeley.com/documents/?uuid=be0f9be9-f83e-4291-b8bb-6067cf848f9b"]},{"id":"ITEM-7","itemData":{"author":[{"dropping-particle":"","family":"Global Reporting Initiative","given":"","non-dropping-particle":"","parse-names":false,"suffix":""}],"container-title":"GRI Standards","id":"ITEM-7","issued":{"date-parts":[["2016"]]},"title":"GRI 407: Freedom of association and collective bargaining","type":"article-journal"},"uris":["http://www.mendeley.com/documents/?uuid=7ec762a3-95c4-40d9-89d3-6854485a7b5a"]},{"id":"ITEM-8","itemData":{"author":[{"dropping-particle":"","family":"Global Reporting Initiative","given":"","non-dropping-particle":"","parse-names":false,"suffix":""}],"container-title":"GRI Standards","id":"ITEM-8","issued":{"date-parts":[["2016"]]},"title":"GRI 408: Child labor","type":"article-journal"},"uris":["http://www.mendeley.com/documents/?uuid=d009d84e-858e-45a7-9bb6-274b35c86d6b"]},{"id":"ITEM-9","itemData":{"author":[{"dropping-particle":"","family":"Global Reporting Initiative","given":"","non-dropping-particle":"","parse-names":false,"suffix":""}],"container-title":"GRI Standards","id":"ITEM-9","issued":{"date-parts":[["2016"]]},"title":"GRI 409: Forced or compulsory labor","type":"article-journal"},"uris":["http://www.mendeley.com/documents/?uuid=66e1f273-fe26-41d1-a1d5-21955cb6014f"]},{"id":"ITEM-10","itemData":{"DOI":"10.2307/249597","ISBN":"02767783","ISSN":"02767783","PMID":"9512120051","abstract":"This longitudinal field study (three work sessions plus an initial training session) investigates the efficacy of a new technology-desktop video-conferencing (DVC)-in support of collaborative telelearning (i.e., collaborative learning among non-proximate team members). Two types of collaborative telelearning environments are considered: One involves local groups (i.e., students on the same campus), and the other involves non-proximate distant groups (i.e., students on two separate campuses). The collaborative telelearning environments are compared to each other and to a traditional face-to-face collaborative learning environment. The study found that the three environments are equally effective in terms of student knowledge acquisition; however, higher critical-thinking skills were found in the distant DVC environment. The subjects in the three learning environments were equally satisfied with their learning process and outcomes. At the conclusion of the longitudinal assessment, the distant students using DVC were more committed and attracted to their groups compared to local students who worked face-to-face or through DVC.","author":[{"dropping-particle":"","family":"Global Reporting Initiative","given":"","non-dropping-particle":"","parse-names":false,"suffix":""}],"container-title":"GRI Global","id":"ITEM-10","issued":{"date-parts":[["2016"]]},"title":"GRI 410: Security practices","type":"article-journal"},"uris":["http://www.mendeley.com/documents/?uuid=d1ce89a9-680c-4201-9d03-c839a4731dd4"]},{"id":"ITEM-11","itemData":{"author":[{"dropping-particle":"","family":"Global Reporting Initiative","given":"","non-dropping-particle":"","parse-names":false,"suffix":""}],"container-title":"GRI Global","id":"ITEM-11","issued":{"date-parts":[["2016"]]},"title":"GRI 411: Rights of indigenous peoples","type":"article-journal"},"uris":["http://www.mendeley.com/documents/?uuid=109f14ae-0ae0-478a-b452-60db8efd82d3"]},{"id":"ITEM-12","itemData":{"author":[{"dropping-particle":"","family":"Global Reporting Initiative","given":"","non-dropping-particle":"","parse-names":false,"suffix":""}],"container-title":"GRI Standards","id":"ITEM-12","issued":{"date-parts":[["2016"]]},"title":"GRI 412: Human rights assessment","type":"article-journal"},"uris":["http://www.mendeley.com/documents/?uuid=6e46478c-6633-44d1-bdc9-ff7e927e3fb2"]},{"id":"ITEM-13","itemData":{"author":[{"dropping-particle":"","family":"Global Reporting Initiative","given":"","non-dropping-particle":"","parse-names":false,"suffix":""}],"id":"ITEM-13","issued":{"date-parts":[["2016"]]},"title":"GRI 413: Local communities","type":"article-journal"},"uris":["http://www.mendeley.com/documents/?uuid=163c69d3-c0da-4a05-8f0a-38e804eddb8e"]},{"id":"ITEM-14","itemData":{"author":[{"dropping-particle":"","family":"Global Reporting Initiative","given":"","non-dropping-particle":"","parse-names":false,"suffix":""}],"container-title":"GRI Standards","id":"ITEM-14","issued":{"date-parts":[["2016"]]},"title":"GRI 414: Supplier social assessment","type":"article-journal"},"uris":["http://www.mendeley.com/documents/?uuid=5a09291d-2832-4193-bd18-c6535129d13a"]},{"id":"ITEM-15","itemData":{"DOI":"10.1590/S0104-42302000000300014","ISSN":"0104-4230","abstract":"UNITERMOS: Câncer em crianças. Qualidade de vida. Efei-tos tardios. Segunda neoplasia. KEY WORDS: Childhood cancer. Quality of life. Late effects. Second malignant neoplasm. INTRODUÇÃO Até a década de 70 a grande maioria das crian-ças portadoras de neoplasia faleciam. O objetivo do tratamento da época era alcançar a cura a qualquer preço. A maioria dos efeitos tardios não eram conhecidos, pois o período de observação pós tratamento era pequeno e parte destes efeitos não eram ainda encontrados ou descritos na literatu-ra. Nos países desenvolvidos, a filosofia de trata-mento era semelhante e os pacientes curados ti-nham pouco tempo de observação . Com o aumento da taxa de sobreviventes cada vez maior, somos levados a acompanhar esses pacientes curados por vários anos. Tem-se obser-vado o impacto dos efeitos tardios relacionados ao tratamento na qualidade de vida destes adultos jovens. Dados obtidos na literatura vêm nos mos-trando que no ano 2000, um em cada 1000 adultos na sua terceira década de vida será um sobrevi-vente de um câncer pediátrico 11 . As consultas clínicas efetuadas após o término do tratamento têm como finalidade confirmar que o paciente continua em remissão de sua doença, assim como avaliar as toxicidades relacionadas ao tratamento. Testes de avaliação dos efeitos tardios incluem exame físico ou laboratorial para análise dos órgãos ou sistemas : cérebro, coração, pulmões, tireóide, gônadas, medula óssea, ossos e tecidos de partes moles (músculos, cartilagens, entre ou-tros), e testes psicológicos (avaliação cognitiva, aprendizado, emocional). Os efeitos tardios do tratamento podem se manifestar mais precocemente ou a longo prazo, dependendo do tratamento utilizado e da idade da criança ao ser exposta ao tratamento. Por exemplo, muitos dos efeitos ligados à radiotera-pia tais como os endocrinológicos (crescimento, hipotiroidismo, entre outros), podem não ser manifestados nos primeiros anos após o término do tratamento. Alguns efeitos provocados pela quimioterapia podem também se manifestar mais tardiamente como por exemplo insuficiência re-nal, cardiomiopatia, perda de audição, etc. (Ta-belas 1,2 e 3). Nos Estados Unidos foi criado um grupo para estudo dos efeitos tardios denominado \" Late Ef-fects Study Group \" , no qual pediatras oncologistas e outros especialistas, através de estudos científi-cos, passaram a estudar as experiências encontra-das com os pacientes curados e as relações encon-tradas entre os tipos de tratamentos propostos…","author":[{"dropping-particle":"","family":"Global Reporting Initiative","given":"","non-dropping-particle":"","parse-names":false,"suffix":""}],"container-title":"GRI Standards","id":"ITEM-15","issued":{"date-parts":[["2016"]]},"title":"GRI 415: Public policy","type":"article-journal"},"uris":["http://www.mendeley.com/documents/?uuid=554b10b5-5c23-46b3-b25b-f6141403421f"]},{"id":"ITEM-16","itemData":{"author":[{"dropping-particle":"","family":"Global Reporting Initiative","given":"","non-dropping-particle":"","parse-names":false,"suffix":""}],"container-title":"GRI Standards","id":"ITEM-16","issued":{"date-parts":[["2016"]]},"title":"GRI 416: Customer health and safety","type":"article-journal"},"uris":["http://www.mendeley.com/documents/?uuid=ec47de97-ef1c-4774-9351-61bbfdbfc927"]},{"id":"ITEM-17","itemData":{"author":[{"dropping-particle":"","family":"Global Reporting Initiative","given":"","non-dropping-particle":"","parse-names":false,"suffix":""}],"id":"ITEM-17","issued":{"date-parts":[["2016"]]},"page":"10","title":"GRI 417: Marketing and Labeling","type":"article-journal"},"uris":["http://www.mendeley.com/documents/?uuid=9f577059-e62b-4606-91e4-94db295bec78"]},{"id":"ITEM-18","itemData":{"author":[{"dropping-particle":"","family":"Global Reporting Initiative","given":"","non-dropping-particle":"","parse-names":false,"suffix":""}],"container-title":"GRI Standards","id":"ITEM-18","issued":{"date-parts":[["2016"]]},"title":"GRI 418: Customer privacy","type":"article-journal"},"uris":["http://www.mendeley.com/documents/?uuid=dce73286-d737-40e3-b837-083ed03f6827"]},{"id":"ITEM-19","itemData":{"author":[{"dropping-particle":"","family":"Global Reporting Initiative","given":"","non-dropping-particle":"","parse-names":false,"suffix":""}],"id":"ITEM-19","issued":{"date-parts":[["2016"]]},"title":"GRI 419: Socioeconomic compliance","type":"article-journal"},"uris":["http://www.mendeley.com/documents/?uuid=a29bb83b-090e-4b04-922d-ab49fb838e26"]}],"mendeley":{"formattedCitation":"(GLOBAL REPORTING INITIATIVE, 2016h, 2016a, 2016i, 2016j, 2016k, 2016l, 2016m, 2016n, 2016q, 2018a, 2018b, 2016p, 2016b, 2016c, 2016d, 2016e, 2016f, 2016g, 2016o)","manualFormatting":"Global Reporting Initiative (2016h, 2016a, 2016i, 2016j, 2016k, 2016l, 2016m, 2016n, 2016q, 2018a, 2018b, 2016p, 2016b, 2016c, 2016d, 2016e, 2016f, 2016g, 2016o)","plainTextFormattedCitation":"(GLOBAL REPORTING INITIATIVE, 2016h, 2016a, 2016i, 2016j, 2016k, 2016l, 2016m, 2016n, 2016q, 2018a, 2018b, 2016p, 2016b, 2016c, 2016d, 2016e, 2016f, 2016g, 2016o)","previouslyFormattedCitation":"(GLOBAL REPORTING INITIATIVE, 2016h, 2016a, 2016i, 2016j, 2016k, 2016l, 2016m, 2016n, 2016q, 2018a, 2018b, 2016p, 2016b, 2016c, 2016d, 2016e, 2016f, 2016g, 2016o)"},"properties":{"noteIndex":0},"schema":"https://github.com/citation-style-language/schema/raw/master/csl-citation.json"}</w:instrText>
      </w:r>
      <w:r>
        <w:fldChar w:fldCharType="separate"/>
      </w:r>
      <w:r w:rsidRPr="009B10C7">
        <w:rPr>
          <w:noProof/>
        </w:rPr>
        <w:t xml:space="preserve">Global Reporting Initiative </w:t>
      </w:r>
      <w:r>
        <w:rPr>
          <w:noProof/>
        </w:rPr>
        <w:t>(</w:t>
      </w:r>
      <w:r w:rsidRPr="009B10C7">
        <w:rPr>
          <w:noProof/>
        </w:rPr>
        <w:t>2016h, 2016a, 2016i, 2016j, 2016k, 2016l, 2016m, 2016n, 2016q, 2018a, 2018b, 2016p, 2016b, 2016c, 2016d, 2016e, 2016f, 2016g, 2016o)</w:t>
      </w:r>
      <w:r>
        <w:fldChar w:fldCharType="end"/>
      </w:r>
      <w:r>
        <w:t>.</w:t>
      </w:r>
    </w:p>
    <w:p w14:paraId="4A68454C" w14:textId="1D375857" w:rsidR="00D22D69" w:rsidRDefault="00D22D69" w:rsidP="00D22D69">
      <w:pPr>
        <w:rPr>
          <w:rFonts w:ascii="Times New Roman" w:hAnsi="Times New Roman" w:cs="Times New Roman"/>
          <w:sz w:val="24"/>
          <w:szCs w:val="24"/>
        </w:rPr>
      </w:pPr>
      <w:r>
        <w:rPr>
          <w:rFonts w:ascii="Times New Roman" w:hAnsi="Times New Roman" w:cs="Times New Roman"/>
          <w:sz w:val="24"/>
          <w:szCs w:val="24"/>
        </w:rPr>
        <w:tab/>
      </w:r>
    </w:p>
    <w:p w14:paraId="671CD733" w14:textId="77777777" w:rsidR="00436224" w:rsidRDefault="00436224" w:rsidP="00436224">
      <w:pPr>
        <w:rPr>
          <w:rFonts w:ascii="Times New Roman" w:hAnsi="Times New Roman" w:cs="Times New Roman"/>
          <w:b/>
          <w:sz w:val="24"/>
          <w:szCs w:val="24"/>
        </w:rPr>
      </w:pPr>
      <w:r>
        <w:rPr>
          <w:rFonts w:ascii="Times New Roman" w:hAnsi="Times New Roman" w:cs="Times New Roman"/>
          <w:b/>
          <w:sz w:val="24"/>
          <w:szCs w:val="24"/>
        </w:rPr>
        <w:t>METODOLOGIA</w:t>
      </w:r>
    </w:p>
    <w:p w14:paraId="1AB66CB1" w14:textId="29C98FAB" w:rsidR="00D22EFF" w:rsidRPr="00D22EFF" w:rsidRDefault="00D22EFF" w:rsidP="00D22EFF">
      <w:pPr>
        <w:rPr>
          <w:rFonts w:ascii="Times New Roman" w:hAnsi="Times New Roman" w:cs="Times New Roman"/>
          <w:sz w:val="24"/>
          <w:szCs w:val="24"/>
        </w:rPr>
      </w:pPr>
      <w:r w:rsidRPr="00D22EFF">
        <w:rPr>
          <w:rFonts w:ascii="Times New Roman" w:hAnsi="Times New Roman" w:cs="Times New Roman"/>
          <w:sz w:val="24"/>
          <w:szCs w:val="24"/>
        </w:rPr>
        <w:t xml:space="preserve">De acordo com a definição de </w:t>
      </w:r>
      <w:r w:rsidR="002745DF">
        <w:rPr>
          <w:rFonts w:ascii="Times New Roman" w:hAnsi="Times New Roman" w:cs="Times New Roman"/>
          <w:sz w:val="24"/>
          <w:szCs w:val="24"/>
        </w:rPr>
        <w:fldChar w:fldCharType="begin" w:fldLock="1"/>
      </w:r>
      <w:r w:rsidR="002745DF">
        <w:rPr>
          <w:rFonts w:ascii="Times New Roman" w:hAnsi="Times New Roman" w:cs="Times New Roman"/>
          <w:sz w:val="24"/>
          <w:szCs w:val="24"/>
        </w:rPr>
        <w:instrText>ADDIN CSL_CITATION {"citationItems":[{"id":"ITEM-1","itemData":{"ISBN":"8522443912","author":[{"dropping-particle":"","family":"Raupp","given":"Fabiano Maury","non-dropping-particle":"","parse-names":false,"suffix":""},{"dropping-particle":"","family":"Beuren","given":"Ilse Maria","non-dropping-particle":"","parse-names":false,"suffix":""}],"chapter-number":"3º","container-title":"Como elaborar trabalhos monográficos em contabilidade","edition":"3º","editor":[{"dropping-particle":"","family":"Atlas","given":"","non-dropping-particle":"","parse-names":false,"suffix":""}],"id":"ITEM-1","issued":{"date-parts":[["2006"]]},"publisher":"Atlas","title":"Metodologia da Pesquisa aplicável às ciências sociais","type":"chapter"},"uris":["http://www.mendeley.com/documents/?uuid=8c984e56-a920-41f4-8553-5d817827d4c4"]}],"mendeley":{"formattedCitation":"(RAUPP; BEUREN, 2006)","manualFormatting":"Raupp e Beuren (2006)","plainTextFormattedCitation":"(RAUPP; BEUREN, 2006)","previouslyFormattedCitation":"(RAUPP; BEUREN, 2006)"},"properties":{"noteIndex":0},"schema":"https://github.com/citation-style-language/schema/raw/master/csl-citation.json"}</w:instrText>
      </w:r>
      <w:r w:rsidR="002745DF">
        <w:rPr>
          <w:rFonts w:ascii="Times New Roman" w:hAnsi="Times New Roman" w:cs="Times New Roman"/>
          <w:sz w:val="24"/>
          <w:szCs w:val="24"/>
        </w:rPr>
        <w:fldChar w:fldCharType="separate"/>
      </w:r>
      <w:r w:rsidR="002745DF" w:rsidRPr="002745DF">
        <w:rPr>
          <w:rFonts w:ascii="Times New Roman" w:hAnsi="Times New Roman" w:cs="Times New Roman"/>
          <w:noProof/>
          <w:sz w:val="24"/>
          <w:szCs w:val="24"/>
        </w:rPr>
        <w:t>Raupp</w:t>
      </w:r>
      <w:r w:rsidR="002745DF">
        <w:rPr>
          <w:rFonts w:ascii="Times New Roman" w:hAnsi="Times New Roman" w:cs="Times New Roman"/>
          <w:noProof/>
          <w:sz w:val="24"/>
          <w:szCs w:val="24"/>
        </w:rPr>
        <w:t xml:space="preserve"> e</w:t>
      </w:r>
      <w:r w:rsidR="002745DF" w:rsidRPr="002745DF">
        <w:rPr>
          <w:rFonts w:ascii="Times New Roman" w:hAnsi="Times New Roman" w:cs="Times New Roman"/>
          <w:noProof/>
          <w:sz w:val="24"/>
          <w:szCs w:val="24"/>
        </w:rPr>
        <w:t xml:space="preserve"> Beuren </w:t>
      </w:r>
      <w:r w:rsidR="002745DF">
        <w:rPr>
          <w:rFonts w:ascii="Times New Roman" w:hAnsi="Times New Roman" w:cs="Times New Roman"/>
          <w:noProof/>
          <w:sz w:val="24"/>
          <w:szCs w:val="24"/>
        </w:rPr>
        <w:t>(</w:t>
      </w:r>
      <w:r w:rsidR="002745DF" w:rsidRPr="002745DF">
        <w:rPr>
          <w:rFonts w:ascii="Times New Roman" w:hAnsi="Times New Roman" w:cs="Times New Roman"/>
          <w:noProof/>
          <w:sz w:val="24"/>
          <w:szCs w:val="24"/>
        </w:rPr>
        <w:t>2006)</w:t>
      </w:r>
      <w:r w:rsidR="002745DF">
        <w:rPr>
          <w:rFonts w:ascii="Times New Roman" w:hAnsi="Times New Roman" w:cs="Times New Roman"/>
          <w:sz w:val="24"/>
          <w:szCs w:val="24"/>
        </w:rPr>
        <w:fldChar w:fldCharType="end"/>
      </w:r>
      <w:r w:rsidRPr="00D22EFF">
        <w:rPr>
          <w:rFonts w:ascii="Times New Roman" w:hAnsi="Times New Roman" w:cs="Times New Roman"/>
          <w:sz w:val="24"/>
          <w:szCs w:val="24"/>
        </w:rPr>
        <w:t>, esta pesquisa se enquadra como pesquisa exploratória, que ocorre, normalmente, quando ainda há pouco conhecimento sobre a temática abordada. Busca-se, então, conhecer o assunto com maior profundidade, de modo a torná-lo mais claro e conduzir questões importantes durante a condução da pesquisa.</w:t>
      </w:r>
    </w:p>
    <w:p w14:paraId="0985FA8D" w14:textId="77777777" w:rsidR="00D22EFF" w:rsidRPr="00D22EFF" w:rsidRDefault="00D22EFF" w:rsidP="00D22EFF">
      <w:pPr>
        <w:rPr>
          <w:rFonts w:ascii="Times New Roman" w:hAnsi="Times New Roman" w:cs="Times New Roman"/>
          <w:sz w:val="24"/>
          <w:szCs w:val="24"/>
        </w:rPr>
      </w:pPr>
      <w:r w:rsidRPr="00D22EFF">
        <w:rPr>
          <w:rFonts w:ascii="Times New Roman" w:hAnsi="Times New Roman" w:cs="Times New Roman"/>
          <w:sz w:val="24"/>
          <w:szCs w:val="24"/>
        </w:rPr>
        <w:t>Para Gil (2002), a pesquisa exploratória se desenvolve com o objetivo de proporcionar uma visão geral acerca de determinado fato. Portanto, esse tipo de pesquisa é realizado, sobretudo, quando o tema escolhido é pouco explorado e torna-se difícil formular hipóteses precisas e operacionalizáveis. Que é, justamente, o caso desta pesquisa, onde pouco se é explorado acerca da sustentabilidade social na construção civil, ainda mais no contexto local.</w:t>
      </w:r>
    </w:p>
    <w:p w14:paraId="6442C2FE" w14:textId="79C1FCF3" w:rsidR="00D22EFF" w:rsidRPr="00D22EFF" w:rsidRDefault="00D22EFF" w:rsidP="00D22EFF">
      <w:pPr>
        <w:rPr>
          <w:rFonts w:ascii="Times New Roman" w:hAnsi="Times New Roman" w:cs="Times New Roman"/>
          <w:sz w:val="24"/>
          <w:szCs w:val="24"/>
        </w:rPr>
      </w:pPr>
      <w:r w:rsidRPr="00D22EFF">
        <w:rPr>
          <w:rFonts w:ascii="Times New Roman" w:hAnsi="Times New Roman" w:cs="Times New Roman"/>
          <w:sz w:val="24"/>
          <w:szCs w:val="24"/>
        </w:rPr>
        <w:lastRenderedPageBreak/>
        <w:t xml:space="preserve">A fim de alcançar o objetivo geral de identificar indicadores de sustentabilidade social aplicáveis em construtoras de edificações de grande e médio porte na Região Metropolitana do Recife (RMR), a pesquisa será feita com levantamento de dados, com as seguintes etapas: especificação dos objetivos; operacionalização dos conceitos e variáveis; elaboração do instrumento de coleta de dados; pré-teste do instrumento; seleção da amostra; coleta e verificação dos dados; análise e interpretação dos dados; apresentação dos resultados </w:t>
      </w:r>
      <w:r w:rsidR="002745DF">
        <w:rPr>
          <w:rFonts w:ascii="Times New Roman" w:hAnsi="Times New Roman" w:cs="Times New Roman"/>
          <w:sz w:val="24"/>
          <w:szCs w:val="24"/>
        </w:rPr>
        <w:fldChar w:fldCharType="begin" w:fldLock="1"/>
      </w:r>
      <w:r w:rsidR="002745DF">
        <w:rPr>
          <w:rFonts w:ascii="Times New Roman" w:hAnsi="Times New Roman" w:cs="Times New Roman"/>
          <w:sz w:val="24"/>
          <w:szCs w:val="24"/>
        </w:rPr>
        <w:instrText>ADDIN CSL_CITATION {"citationItems":[{"id":"ITEM-1","itemData":{"DOI":"10.1111/j.1438-8677.1994.tb00406.x","ISBN":"8522431698","ISSN":"85-224-3169-8","PMID":"19405780","abstract":"Como encaminhar uma pesquisa; Como formular um problema de pesquisa; Como construir hipóteses; Como classificar as pesquisas; Como delinear uma pesquisa bibliográfica; Como delinear uma pesquisa documental; Como delinear uma pesquisa experimental; Como delinear um ensaio clínico; Como delinear um estudo de coorte; Como delinear um estudo caso-controle; Como delinear um levantamento; Como delinear um estudo de caso; Como delinear uma pesquisa etnográfica; Como delinear uma pesquisa fenomenológica; Como delinear uma pesquisa para desenvolver teoria fundamentada (grounded theory); Como delinear uma pesquisa-ação;Como delinear uma pesquisa participante; Como calcular o tempo e o custo do projeto; Como redigir o projeto de pesquisa.","author":[{"dropping-particle":"","family":"Gil","given":"Antonio Carlos","non-dropping-particle":"","parse-names":false,"suffix":""}],"container-title":"Como Elaborar Projetos de Pesquisa","id":"ITEM-1","issued":{"date-parts":[["2002"]]},"note":"Apresentado pela profa. Ana Cuperschimd, indicado para fazer passo-a-passo da metodologia","number-of-pages":"137-142","title":"Projetos de Pesquisa Como Elaborar","type":"book"},"uris":["http://www.mendeley.com/documents/?uuid=d4e7669f-d2a2-4117-a384-584f9b87f322"]}],"mendeley":{"formattedCitation":"(GIL, 2002)","plainTextFormattedCitation":"(GIL, 2002)","previouslyFormattedCitation":"(GIL, 2002)"},"properties":{"noteIndex":0},"schema":"https://github.com/citation-style-language/schema/raw/master/csl-citation.json"}</w:instrText>
      </w:r>
      <w:r w:rsidR="002745DF">
        <w:rPr>
          <w:rFonts w:ascii="Times New Roman" w:hAnsi="Times New Roman" w:cs="Times New Roman"/>
          <w:sz w:val="24"/>
          <w:szCs w:val="24"/>
        </w:rPr>
        <w:fldChar w:fldCharType="separate"/>
      </w:r>
      <w:r w:rsidR="002745DF" w:rsidRPr="002745DF">
        <w:rPr>
          <w:rFonts w:ascii="Times New Roman" w:hAnsi="Times New Roman" w:cs="Times New Roman"/>
          <w:noProof/>
          <w:sz w:val="24"/>
          <w:szCs w:val="24"/>
        </w:rPr>
        <w:t>(GIL, 2002)</w:t>
      </w:r>
      <w:r w:rsidR="002745DF">
        <w:rPr>
          <w:rFonts w:ascii="Times New Roman" w:hAnsi="Times New Roman" w:cs="Times New Roman"/>
          <w:sz w:val="24"/>
          <w:szCs w:val="24"/>
        </w:rPr>
        <w:fldChar w:fldCharType="end"/>
      </w:r>
      <w:r w:rsidRPr="00D22EFF">
        <w:rPr>
          <w:rFonts w:ascii="Times New Roman" w:hAnsi="Times New Roman" w:cs="Times New Roman"/>
          <w:sz w:val="24"/>
          <w:szCs w:val="24"/>
        </w:rPr>
        <w:t>.</w:t>
      </w:r>
    </w:p>
    <w:p w14:paraId="6D2443A2" w14:textId="77777777" w:rsidR="00D22EFF" w:rsidRDefault="00D22EFF" w:rsidP="00D22EFF">
      <w:pPr>
        <w:rPr>
          <w:rFonts w:ascii="Times New Roman" w:hAnsi="Times New Roman" w:cs="Times New Roman"/>
          <w:sz w:val="24"/>
          <w:szCs w:val="24"/>
        </w:rPr>
      </w:pPr>
      <w:r>
        <w:rPr>
          <w:rFonts w:ascii="Times New Roman" w:hAnsi="Times New Roman" w:cs="Times New Roman"/>
          <w:sz w:val="24"/>
          <w:szCs w:val="24"/>
        </w:rPr>
        <w:t>Para est</w:t>
      </w:r>
      <w:r w:rsidRPr="00D22EFF">
        <w:rPr>
          <w:rFonts w:ascii="Times New Roman" w:hAnsi="Times New Roman" w:cs="Times New Roman"/>
          <w:sz w:val="24"/>
          <w:szCs w:val="24"/>
        </w:rPr>
        <w:t>e trabalho, inicialmente, serão levados em consideração as seguintes características</w:t>
      </w:r>
      <w:r>
        <w:rPr>
          <w:rFonts w:ascii="Times New Roman" w:hAnsi="Times New Roman" w:cs="Times New Roman"/>
          <w:sz w:val="24"/>
          <w:szCs w:val="24"/>
        </w:rPr>
        <w:t>:</w:t>
      </w:r>
    </w:p>
    <w:p w14:paraId="64195215" w14:textId="77777777" w:rsidR="00D22EFF" w:rsidRDefault="00D22EFF" w:rsidP="00D22EFF">
      <w:pPr>
        <w:pStyle w:val="PargrafodaLista"/>
        <w:numPr>
          <w:ilvl w:val="0"/>
          <w:numId w:val="1"/>
        </w:numPr>
        <w:rPr>
          <w:rFonts w:ascii="Times New Roman" w:hAnsi="Times New Roman" w:cs="Times New Roman"/>
          <w:sz w:val="24"/>
          <w:szCs w:val="24"/>
        </w:rPr>
      </w:pPr>
      <w:r w:rsidRPr="00D22EFF">
        <w:rPr>
          <w:rFonts w:ascii="Times New Roman" w:hAnsi="Times New Roman" w:cs="Times New Roman"/>
          <w:sz w:val="24"/>
          <w:szCs w:val="24"/>
        </w:rPr>
        <w:t>Para as empresas:</w:t>
      </w:r>
    </w:p>
    <w:p w14:paraId="36400B54" w14:textId="77777777" w:rsidR="00D22EFF" w:rsidRDefault="00D22EFF" w:rsidP="00D22EFF">
      <w:pPr>
        <w:pStyle w:val="PargrafodaLista"/>
        <w:numPr>
          <w:ilvl w:val="1"/>
          <w:numId w:val="1"/>
        </w:numPr>
        <w:rPr>
          <w:rFonts w:ascii="Times New Roman" w:hAnsi="Times New Roman" w:cs="Times New Roman"/>
          <w:sz w:val="24"/>
          <w:szCs w:val="24"/>
        </w:rPr>
      </w:pPr>
      <w:r w:rsidRPr="00D22EFF">
        <w:rPr>
          <w:rFonts w:ascii="Times New Roman" w:hAnsi="Times New Roman" w:cs="Times New Roman"/>
          <w:sz w:val="24"/>
          <w:szCs w:val="24"/>
        </w:rPr>
        <w:t>Nome;</w:t>
      </w:r>
    </w:p>
    <w:p w14:paraId="5C7939D5" w14:textId="77777777" w:rsidR="00D22EFF" w:rsidRDefault="00D22EFF" w:rsidP="00D22EFF">
      <w:pPr>
        <w:pStyle w:val="PargrafodaLista"/>
        <w:numPr>
          <w:ilvl w:val="1"/>
          <w:numId w:val="1"/>
        </w:numPr>
        <w:rPr>
          <w:rFonts w:ascii="Times New Roman" w:hAnsi="Times New Roman" w:cs="Times New Roman"/>
          <w:sz w:val="24"/>
          <w:szCs w:val="24"/>
        </w:rPr>
      </w:pPr>
      <w:r w:rsidRPr="00D22EFF">
        <w:rPr>
          <w:rFonts w:ascii="Times New Roman" w:hAnsi="Times New Roman" w:cs="Times New Roman"/>
          <w:sz w:val="24"/>
          <w:szCs w:val="24"/>
        </w:rPr>
        <w:t>Atuação;</w:t>
      </w:r>
    </w:p>
    <w:p w14:paraId="3A064E64" w14:textId="77777777" w:rsidR="00D22EFF" w:rsidRDefault="00D22EFF" w:rsidP="00D22EFF">
      <w:pPr>
        <w:pStyle w:val="PargrafodaLista"/>
        <w:numPr>
          <w:ilvl w:val="1"/>
          <w:numId w:val="1"/>
        </w:numPr>
        <w:rPr>
          <w:rFonts w:ascii="Times New Roman" w:hAnsi="Times New Roman" w:cs="Times New Roman"/>
          <w:sz w:val="24"/>
          <w:szCs w:val="24"/>
        </w:rPr>
      </w:pPr>
      <w:r w:rsidRPr="00D22EFF">
        <w:rPr>
          <w:rFonts w:ascii="Times New Roman" w:hAnsi="Times New Roman" w:cs="Times New Roman"/>
          <w:sz w:val="24"/>
          <w:szCs w:val="24"/>
        </w:rPr>
        <w:t>Locais de atuação;</w:t>
      </w:r>
    </w:p>
    <w:p w14:paraId="5113205D" w14:textId="77777777" w:rsidR="00D22EFF" w:rsidRDefault="00D22EFF" w:rsidP="00D22EFF">
      <w:pPr>
        <w:pStyle w:val="PargrafodaLista"/>
        <w:numPr>
          <w:ilvl w:val="1"/>
          <w:numId w:val="1"/>
        </w:numPr>
        <w:rPr>
          <w:rFonts w:ascii="Times New Roman" w:hAnsi="Times New Roman" w:cs="Times New Roman"/>
          <w:sz w:val="24"/>
          <w:szCs w:val="24"/>
        </w:rPr>
      </w:pPr>
      <w:r w:rsidRPr="00D22EFF">
        <w:rPr>
          <w:rFonts w:ascii="Times New Roman" w:hAnsi="Times New Roman" w:cs="Times New Roman"/>
          <w:sz w:val="24"/>
          <w:szCs w:val="24"/>
        </w:rPr>
        <w:t>Quantidade de funcionários, com a seguinte consideração: microempresa, empresas com menos que 20 funcionários; pequena empresa, empresa que contém entre 20 e 99 funcionários; média para aquela que contenha entre 100 e 499 funcionários; e grande para empresas com mais de 500 funcionári</w:t>
      </w:r>
      <w:r>
        <w:rPr>
          <w:rFonts w:ascii="Times New Roman" w:hAnsi="Times New Roman" w:cs="Times New Roman"/>
          <w:sz w:val="24"/>
          <w:szCs w:val="24"/>
        </w:rPr>
        <w:t>os;</w:t>
      </w:r>
    </w:p>
    <w:p w14:paraId="3932AB56" w14:textId="77777777" w:rsidR="00D22EFF" w:rsidRDefault="00D22EFF" w:rsidP="00D22EFF">
      <w:pPr>
        <w:pStyle w:val="PargrafodaLista"/>
        <w:numPr>
          <w:ilvl w:val="1"/>
          <w:numId w:val="1"/>
        </w:numPr>
        <w:rPr>
          <w:rFonts w:ascii="Times New Roman" w:hAnsi="Times New Roman" w:cs="Times New Roman"/>
          <w:sz w:val="24"/>
          <w:szCs w:val="24"/>
        </w:rPr>
      </w:pPr>
      <w:r w:rsidRPr="00D22EFF">
        <w:rPr>
          <w:rFonts w:ascii="Times New Roman" w:hAnsi="Times New Roman" w:cs="Times New Roman"/>
          <w:sz w:val="24"/>
          <w:szCs w:val="24"/>
        </w:rPr>
        <w:t>Quantidade de projetos em execução: quantidade de canteiros ativos, sinalizando obras em andamento;</w:t>
      </w:r>
    </w:p>
    <w:p w14:paraId="7D346CCC" w14:textId="7E279ED5" w:rsidR="00D22EFF" w:rsidRDefault="00D22EFF" w:rsidP="00D22EFF">
      <w:pPr>
        <w:pStyle w:val="PargrafodaLista"/>
        <w:numPr>
          <w:ilvl w:val="1"/>
          <w:numId w:val="1"/>
        </w:numPr>
        <w:rPr>
          <w:rFonts w:ascii="Times New Roman" w:hAnsi="Times New Roman" w:cs="Times New Roman"/>
          <w:sz w:val="24"/>
          <w:szCs w:val="24"/>
        </w:rPr>
      </w:pPr>
      <w:r w:rsidRPr="00D22EFF">
        <w:rPr>
          <w:rFonts w:ascii="Times New Roman" w:hAnsi="Times New Roman" w:cs="Times New Roman"/>
          <w:sz w:val="24"/>
          <w:szCs w:val="24"/>
        </w:rPr>
        <w:t xml:space="preserve">Certificações: ISO 9001, ISO 14001 e OHSAS 18001 </w:t>
      </w:r>
      <w:r w:rsidR="002745DF">
        <w:rPr>
          <w:rFonts w:ascii="Times New Roman" w:hAnsi="Times New Roman" w:cs="Times New Roman"/>
          <w:sz w:val="24"/>
          <w:szCs w:val="24"/>
        </w:rPr>
        <w:fldChar w:fldCharType="begin" w:fldLock="1"/>
      </w:r>
      <w:r w:rsidR="001730CC">
        <w:rPr>
          <w:rFonts w:ascii="Times New Roman" w:hAnsi="Times New Roman" w:cs="Times New Roman"/>
          <w:sz w:val="24"/>
          <w:szCs w:val="24"/>
        </w:rPr>
        <w:instrText>ADDIN CSL_CITATION {"citationItems":[{"id":"ITEM-1","itemData":{"abstract":"Organizations of all kinds are increasingly concerned with achieving and demonstrating sound environmental performance by controlling the impacts of their activities, products and services on the environment, consistent with their environmental policy and objectives. They do so in the context of increasingly stringent legislation, the development of economic policies and other measures that foster environmental protection, and increased concern expressed by interested parties about environmental matters and sustainable development.","author":[{"dropping-particle":"","family":"ISO","given":"","non-dropping-particle":"","parse-names":false,"suffix":""}],"container-title":"Order A Journal On The Theory Of Ordered Sets And Its Applications","id":"ITEM-1","issued":{"date-parts":[["2004"]]},"title":"IS0 14001: Environmental management systems — Requirements with guidance for use","type":"article"},"uris":["http://www.mendeley.com/documents/?uuid=fb6545e5-7e4c-47fc-862d-9f76765bb62f"]},{"id":"ITEM-2","itemData":{"DOI":"ISBN 978-92-67-10650-2","ISBN":"978-92-67-10650-2","abstract":"ISO 9000 ISO 9001 (2015) ISO 9001 (2015) — Requisitos para los Sistemas de Gestión de la Calidad Interpretación libre de ISO/DIS 9001:2015 ISO 9001:2015 Página 2 de 33 ISO 9001 (2015) — Requisitos para los Sistemas de Gestión de la Calidad. Interpretación libre de ISO/DIS 9001:2015. 2 «Nombre_Organización_COMPLETO» Tabla de Contenido — Matriz de correlación ISO/DIS 9001:2015 / ISO 9001:2008 Norma Internacional ISO 9001:2015 (DIS) Norma actual ISO 9001:2008 Descripción del cambio en la nueva ISO 9001 (2015) Pág.","author":[{"dropping-particle":"","family":"ISO","given":"","non-dropping-particle":"","parse-names":false,"suffix":""}],"container-title":"International organization for standardization","id":"ITEM-2","issued":{"date-parts":[["2015"]]},"title":"ISO 9001:2015","type":"article-journal"},"uris":["http://www.mendeley.com/documents/?uuid=3be47fc1-089c-4c46-8a1d-0f446ab5e477"]},{"id":"ITEM-3","itemData":{"DOI":"ISBN 978 0 580 50802 8","ISBN":"9788481435368","abstract":"Manual que establece requisitos para implementar un Sistema de Gestión en Seguridad y Salud Ocupacional","author":[{"dropping-particle":"","family":"OHSAS Project group","given":"","non-dropping-particle":"","parse-names":false,"suffix":""}],"container-title":"OHSAS Project group","id":"ITEM-3","issued":{"date-parts":[["2007"]]},"title":"OHSAS 18001:2007 Sistema de Gestión en Seguridad y Salud Ocupacional – Requisitos","type":"article-journal"},"uris":["http://www.mendeley.com/documents/?uuid=6939d559-915f-4beb-92e0-e1c35a8b7a56"]}],"mendeley":{"formattedCitation":"(ISO, 2004, 2015; OHSAS PROJECT GROUP, 2007)","plainTextFormattedCitation":"(ISO, 2004, 2015; OHSAS PROJECT GROUP, 2007)","previouslyFormattedCitation":"(ISO, 2004, 2015; OHSAS PROJECT GROUP, 2007)"},"properties":{"noteIndex":0},"schema":"https://github.com/citation-style-language/schema/raw/master/csl-citation.json"}</w:instrText>
      </w:r>
      <w:r w:rsidR="002745DF">
        <w:rPr>
          <w:rFonts w:ascii="Times New Roman" w:hAnsi="Times New Roman" w:cs="Times New Roman"/>
          <w:sz w:val="24"/>
          <w:szCs w:val="24"/>
        </w:rPr>
        <w:fldChar w:fldCharType="separate"/>
      </w:r>
      <w:r w:rsidR="002745DF" w:rsidRPr="002745DF">
        <w:rPr>
          <w:rFonts w:ascii="Times New Roman" w:hAnsi="Times New Roman" w:cs="Times New Roman"/>
          <w:noProof/>
          <w:sz w:val="24"/>
          <w:szCs w:val="24"/>
        </w:rPr>
        <w:t>(ISO, 2004, 2015; OHSAS PROJECT GROUP, 2007)</w:t>
      </w:r>
      <w:r w:rsidR="002745DF">
        <w:rPr>
          <w:rFonts w:ascii="Times New Roman" w:hAnsi="Times New Roman" w:cs="Times New Roman"/>
          <w:sz w:val="24"/>
          <w:szCs w:val="24"/>
        </w:rPr>
        <w:fldChar w:fldCharType="end"/>
      </w:r>
      <w:r w:rsidRPr="00D22EFF">
        <w:rPr>
          <w:rFonts w:ascii="Times New Roman" w:hAnsi="Times New Roman" w:cs="Times New Roman"/>
          <w:sz w:val="24"/>
          <w:szCs w:val="24"/>
        </w:rPr>
        <w:t>;</w:t>
      </w:r>
    </w:p>
    <w:p w14:paraId="54A7A551" w14:textId="60E85D72" w:rsidR="00D22EFF" w:rsidRDefault="00D22EFF" w:rsidP="00D22EFF">
      <w:pPr>
        <w:pStyle w:val="PargrafodaLista"/>
        <w:numPr>
          <w:ilvl w:val="1"/>
          <w:numId w:val="1"/>
        </w:numPr>
        <w:rPr>
          <w:rFonts w:ascii="Times New Roman" w:hAnsi="Times New Roman" w:cs="Times New Roman"/>
          <w:sz w:val="24"/>
          <w:szCs w:val="24"/>
        </w:rPr>
      </w:pPr>
      <w:r w:rsidRPr="00D22EFF">
        <w:rPr>
          <w:rFonts w:ascii="Times New Roman" w:hAnsi="Times New Roman" w:cs="Times New Roman"/>
          <w:sz w:val="24"/>
          <w:szCs w:val="24"/>
        </w:rPr>
        <w:t>Faturamento anual (ano anterior, 2018);</w:t>
      </w:r>
    </w:p>
    <w:p w14:paraId="4D55B82D" w14:textId="77777777" w:rsidR="00D22EFF" w:rsidRPr="00D22EFF" w:rsidRDefault="00D22EFF" w:rsidP="00D22EFF">
      <w:pPr>
        <w:pStyle w:val="PargrafodaLista"/>
        <w:ind w:left="1500"/>
        <w:rPr>
          <w:rFonts w:ascii="Times New Roman" w:hAnsi="Times New Roman" w:cs="Times New Roman"/>
          <w:sz w:val="24"/>
          <w:szCs w:val="24"/>
        </w:rPr>
      </w:pPr>
    </w:p>
    <w:p w14:paraId="57722BAF" w14:textId="77777777" w:rsidR="00D22EFF" w:rsidRDefault="00D22EFF" w:rsidP="00D22EFF">
      <w:pPr>
        <w:pStyle w:val="PargrafodaLista"/>
        <w:numPr>
          <w:ilvl w:val="0"/>
          <w:numId w:val="1"/>
        </w:numPr>
        <w:rPr>
          <w:rFonts w:ascii="Times New Roman" w:hAnsi="Times New Roman" w:cs="Times New Roman"/>
          <w:sz w:val="24"/>
          <w:szCs w:val="24"/>
        </w:rPr>
      </w:pPr>
      <w:r w:rsidRPr="00D22EFF">
        <w:rPr>
          <w:rFonts w:ascii="Times New Roman" w:hAnsi="Times New Roman" w:cs="Times New Roman"/>
          <w:sz w:val="24"/>
          <w:szCs w:val="24"/>
        </w:rPr>
        <w:t>Para os entrevistados:</w:t>
      </w:r>
    </w:p>
    <w:p w14:paraId="3CD1D129" w14:textId="77777777" w:rsidR="00D22EFF" w:rsidRDefault="00D22EFF" w:rsidP="00D22EFF">
      <w:pPr>
        <w:pStyle w:val="PargrafodaLista"/>
        <w:numPr>
          <w:ilvl w:val="1"/>
          <w:numId w:val="1"/>
        </w:numPr>
        <w:rPr>
          <w:rFonts w:ascii="Times New Roman" w:hAnsi="Times New Roman" w:cs="Times New Roman"/>
          <w:sz w:val="24"/>
          <w:szCs w:val="24"/>
        </w:rPr>
      </w:pPr>
      <w:r w:rsidRPr="00D22EFF">
        <w:rPr>
          <w:rFonts w:ascii="Times New Roman" w:hAnsi="Times New Roman" w:cs="Times New Roman"/>
          <w:sz w:val="24"/>
          <w:szCs w:val="24"/>
        </w:rPr>
        <w:t>Faixa etária: menor que 30 anos, entre 30 e 50 anos e maior que 50 anos;</w:t>
      </w:r>
    </w:p>
    <w:p w14:paraId="71C054AD" w14:textId="77777777" w:rsidR="00D22EFF" w:rsidRDefault="00D22EFF" w:rsidP="00D22EFF">
      <w:pPr>
        <w:pStyle w:val="PargrafodaLista"/>
        <w:numPr>
          <w:ilvl w:val="1"/>
          <w:numId w:val="1"/>
        </w:numPr>
        <w:rPr>
          <w:rFonts w:ascii="Times New Roman" w:hAnsi="Times New Roman" w:cs="Times New Roman"/>
          <w:sz w:val="24"/>
          <w:szCs w:val="24"/>
        </w:rPr>
      </w:pPr>
      <w:r w:rsidRPr="00D22EFF">
        <w:rPr>
          <w:rFonts w:ascii="Times New Roman" w:hAnsi="Times New Roman" w:cs="Times New Roman"/>
          <w:sz w:val="24"/>
          <w:szCs w:val="24"/>
        </w:rPr>
        <w:t>Gênero;</w:t>
      </w:r>
    </w:p>
    <w:p w14:paraId="3BB11386" w14:textId="77777777" w:rsidR="00D22EFF" w:rsidRDefault="00D22EFF" w:rsidP="00D22EFF">
      <w:pPr>
        <w:pStyle w:val="PargrafodaLista"/>
        <w:numPr>
          <w:ilvl w:val="1"/>
          <w:numId w:val="1"/>
        </w:numPr>
        <w:rPr>
          <w:rFonts w:ascii="Times New Roman" w:hAnsi="Times New Roman" w:cs="Times New Roman"/>
          <w:sz w:val="24"/>
          <w:szCs w:val="24"/>
        </w:rPr>
      </w:pPr>
      <w:r w:rsidRPr="00D22EFF">
        <w:rPr>
          <w:rFonts w:ascii="Times New Roman" w:hAnsi="Times New Roman" w:cs="Times New Roman"/>
          <w:sz w:val="24"/>
          <w:szCs w:val="24"/>
        </w:rPr>
        <w:t>Formação mais alta;</w:t>
      </w:r>
    </w:p>
    <w:p w14:paraId="71DC3C0E" w14:textId="77777777" w:rsidR="00D22EFF" w:rsidRDefault="00D22EFF" w:rsidP="00D22EFF">
      <w:pPr>
        <w:pStyle w:val="PargrafodaLista"/>
        <w:numPr>
          <w:ilvl w:val="1"/>
          <w:numId w:val="1"/>
        </w:numPr>
        <w:rPr>
          <w:rFonts w:ascii="Times New Roman" w:hAnsi="Times New Roman" w:cs="Times New Roman"/>
          <w:sz w:val="24"/>
          <w:szCs w:val="24"/>
        </w:rPr>
      </w:pPr>
      <w:r w:rsidRPr="00D22EFF">
        <w:rPr>
          <w:rFonts w:ascii="Times New Roman" w:hAnsi="Times New Roman" w:cs="Times New Roman"/>
          <w:sz w:val="24"/>
          <w:szCs w:val="24"/>
        </w:rPr>
        <w:t>Ano de conclusão;</w:t>
      </w:r>
    </w:p>
    <w:p w14:paraId="1C93566F" w14:textId="77777777" w:rsidR="00D22EFF" w:rsidRDefault="00D22EFF" w:rsidP="00D22EFF">
      <w:pPr>
        <w:pStyle w:val="PargrafodaLista"/>
        <w:numPr>
          <w:ilvl w:val="1"/>
          <w:numId w:val="1"/>
        </w:numPr>
        <w:rPr>
          <w:rFonts w:ascii="Times New Roman" w:hAnsi="Times New Roman" w:cs="Times New Roman"/>
          <w:sz w:val="24"/>
          <w:szCs w:val="24"/>
        </w:rPr>
      </w:pPr>
      <w:r w:rsidRPr="00D22EFF">
        <w:rPr>
          <w:rFonts w:ascii="Times New Roman" w:hAnsi="Times New Roman" w:cs="Times New Roman"/>
          <w:sz w:val="24"/>
          <w:szCs w:val="24"/>
        </w:rPr>
        <w:t>Formação na área sustentável;</w:t>
      </w:r>
    </w:p>
    <w:p w14:paraId="601B29C9" w14:textId="77777777" w:rsidR="00D22EFF" w:rsidRDefault="00D22EFF" w:rsidP="00D22EFF">
      <w:pPr>
        <w:pStyle w:val="PargrafodaLista"/>
        <w:numPr>
          <w:ilvl w:val="1"/>
          <w:numId w:val="1"/>
        </w:numPr>
        <w:rPr>
          <w:rFonts w:ascii="Times New Roman" w:hAnsi="Times New Roman" w:cs="Times New Roman"/>
          <w:sz w:val="24"/>
          <w:szCs w:val="24"/>
        </w:rPr>
      </w:pPr>
      <w:r w:rsidRPr="00D22EFF">
        <w:rPr>
          <w:rFonts w:ascii="Times New Roman" w:hAnsi="Times New Roman" w:cs="Times New Roman"/>
          <w:sz w:val="24"/>
          <w:szCs w:val="24"/>
        </w:rPr>
        <w:t>Tempo de atuação profissional;</w:t>
      </w:r>
    </w:p>
    <w:p w14:paraId="143A8735" w14:textId="7BDD9CDF" w:rsidR="00D22EFF" w:rsidRDefault="00D22EFF" w:rsidP="00D22EFF">
      <w:pPr>
        <w:pStyle w:val="PargrafodaLista"/>
        <w:numPr>
          <w:ilvl w:val="1"/>
          <w:numId w:val="1"/>
        </w:numPr>
        <w:rPr>
          <w:rFonts w:ascii="Times New Roman" w:hAnsi="Times New Roman" w:cs="Times New Roman"/>
          <w:sz w:val="24"/>
          <w:szCs w:val="24"/>
        </w:rPr>
      </w:pPr>
      <w:r w:rsidRPr="00D22EFF">
        <w:rPr>
          <w:rFonts w:ascii="Times New Roman" w:hAnsi="Times New Roman" w:cs="Times New Roman"/>
          <w:sz w:val="24"/>
          <w:szCs w:val="24"/>
        </w:rPr>
        <w:t>Cargo;</w:t>
      </w:r>
    </w:p>
    <w:p w14:paraId="7FD8090D" w14:textId="77777777" w:rsidR="00D22EFF" w:rsidRDefault="00D22EFF" w:rsidP="00D22EFF">
      <w:pPr>
        <w:pStyle w:val="PargrafodaLista"/>
        <w:ind w:left="1500"/>
        <w:rPr>
          <w:rFonts w:ascii="Times New Roman" w:hAnsi="Times New Roman" w:cs="Times New Roman"/>
          <w:sz w:val="24"/>
          <w:szCs w:val="24"/>
        </w:rPr>
      </w:pPr>
    </w:p>
    <w:p w14:paraId="11AF1937" w14:textId="77777777" w:rsidR="00D22EFF" w:rsidRDefault="00D22EFF" w:rsidP="00D22EFF">
      <w:pPr>
        <w:pStyle w:val="PargrafodaLista"/>
        <w:numPr>
          <w:ilvl w:val="0"/>
          <w:numId w:val="1"/>
        </w:numPr>
        <w:rPr>
          <w:rFonts w:ascii="Times New Roman" w:hAnsi="Times New Roman" w:cs="Times New Roman"/>
          <w:sz w:val="24"/>
          <w:szCs w:val="24"/>
        </w:rPr>
      </w:pPr>
      <w:r w:rsidRPr="00D22EFF">
        <w:rPr>
          <w:rFonts w:ascii="Times New Roman" w:hAnsi="Times New Roman" w:cs="Times New Roman"/>
          <w:sz w:val="24"/>
          <w:szCs w:val="24"/>
        </w:rPr>
        <w:lastRenderedPageBreak/>
        <w:t xml:space="preserve"> Para cada um dos indicadores selecionados:</w:t>
      </w:r>
    </w:p>
    <w:p w14:paraId="5D7C6175" w14:textId="0E487DD9" w:rsidR="00D22EFF" w:rsidRDefault="00D22EFF" w:rsidP="00D22EFF">
      <w:pPr>
        <w:pStyle w:val="PargrafodaLista"/>
        <w:numPr>
          <w:ilvl w:val="1"/>
          <w:numId w:val="1"/>
        </w:numPr>
        <w:rPr>
          <w:rFonts w:ascii="Times New Roman" w:hAnsi="Times New Roman" w:cs="Times New Roman"/>
          <w:sz w:val="24"/>
          <w:szCs w:val="24"/>
        </w:rPr>
      </w:pPr>
      <w:r w:rsidRPr="00D22EFF">
        <w:rPr>
          <w:rFonts w:ascii="Times New Roman" w:hAnsi="Times New Roman" w:cs="Times New Roman"/>
          <w:sz w:val="24"/>
          <w:szCs w:val="24"/>
        </w:rPr>
        <w:t>Nível de importância do indicador para empresa</w:t>
      </w:r>
      <w:r>
        <w:rPr>
          <w:rFonts w:ascii="Times New Roman" w:hAnsi="Times New Roman" w:cs="Times New Roman"/>
          <w:sz w:val="24"/>
          <w:szCs w:val="24"/>
        </w:rPr>
        <w:t>, a ser avaliada de acordo com a Escala Likert, onde:</w:t>
      </w:r>
    </w:p>
    <w:p w14:paraId="5FF4535D" w14:textId="5E74017B" w:rsidR="00D22EFF" w:rsidRPr="00D22EFF" w:rsidRDefault="00D22EFF" w:rsidP="00D22EFF">
      <w:pPr>
        <w:pStyle w:val="PargrafodaLista"/>
        <w:numPr>
          <w:ilvl w:val="2"/>
          <w:numId w:val="1"/>
        </w:numPr>
        <w:rPr>
          <w:rFonts w:ascii="Times New Roman" w:hAnsi="Times New Roman" w:cs="Times New Roman"/>
          <w:sz w:val="24"/>
          <w:szCs w:val="24"/>
        </w:rPr>
      </w:pPr>
      <w:r>
        <w:rPr>
          <w:rFonts w:ascii="Times New Roman" w:hAnsi="Times New Roman" w:cs="Times New Roman"/>
          <w:sz w:val="24"/>
          <w:szCs w:val="24"/>
        </w:rPr>
        <w:t xml:space="preserve">5 </w:t>
      </w:r>
      <w:r w:rsidR="00B95283">
        <w:rPr>
          <w:rFonts w:ascii="Times New Roman" w:hAnsi="Times New Roman" w:cs="Times New Roman"/>
          <w:sz w:val="24"/>
          <w:szCs w:val="24"/>
        </w:rPr>
        <w:t xml:space="preserve">= </w:t>
      </w:r>
      <w:r w:rsidR="00B95283" w:rsidRPr="00D22EFF">
        <w:rPr>
          <w:rFonts w:ascii="Times New Roman" w:hAnsi="Times New Roman" w:cs="Times New Roman"/>
          <w:sz w:val="24"/>
          <w:szCs w:val="24"/>
        </w:rPr>
        <w:t>muito</w:t>
      </w:r>
      <w:r w:rsidRPr="00D22EFF">
        <w:rPr>
          <w:rFonts w:ascii="Times New Roman" w:hAnsi="Times New Roman" w:cs="Times New Roman"/>
          <w:sz w:val="24"/>
          <w:szCs w:val="24"/>
        </w:rPr>
        <w:t xml:space="preserve"> importante;</w:t>
      </w:r>
    </w:p>
    <w:p w14:paraId="3B2F0588" w14:textId="2D4B5751" w:rsidR="00D22EFF" w:rsidRPr="00D22EFF" w:rsidRDefault="00D22EFF" w:rsidP="00D22EFF">
      <w:pPr>
        <w:pStyle w:val="PargrafodaLista"/>
        <w:numPr>
          <w:ilvl w:val="2"/>
          <w:numId w:val="1"/>
        </w:numPr>
        <w:rPr>
          <w:rFonts w:ascii="Times New Roman" w:hAnsi="Times New Roman" w:cs="Times New Roman"/>
          <w:sz w:val="24"/>
          <w:szCs w:val="24"/>
        </w:rPr>
      </w:pPr>
      <w:r>
        <w:rPr>
          <w:rFonts w:ascii="Times New Roman" w:hAnsi="Times New Roman" w:cs="Times New Roman"/>
          <w:sz w:val="24"/>
          <w:szCs w:val="24"/>
        </w:rPr>
        <w:t xml:space="preserve">4 </w:t>
      </w:r>
      <w:r w:rsidR="00B95283">
        <w:rPr>
          <w:rFonts w:ascii="Times New Roman" w:hAnsi="Times New Roman" w:cs="Times New Roman"/>
          <w:sz w:val="24"/>
          <w:szCs w:val="24"/>
        </w:rPr>
        <w:t xml:space="preserve">= </w:t>
      </w:r>
      <w:r w:rsidR="00B95283" w:rsidRPr="00D22EFF">
        <w:rPr>
          <w:rFonts w:ascii="Times New Roman" w:hAnsi="Times New Roman" w:cs="Times New Roman"/>
          <w:sz w:val="24"/>
          <w:szCs w:val="24"/>
        </w:rPr>
        <w:t>importante</w:t>
      </w:r>
      <w:r w:rsidRPr="00D22EFF">
        <w:rPr>
          <w:rFonts w:ascii="Times New Roman" w:hAnsi="Times New Roman" w:cs="Times New Roman"/>
          <w:sz w:val="24"/>
          <w:szCs w:val="24"/>
        </w:rPr>
        <w:t>;</w:t>
      </w:r>
    </w:p>
    <w:p w14:paraId="15F3F7B8" w14:textId="2146F970" w:rsidR="00D22EFF" w:rsidRPr="00D22EFF" w:rsidRDefault="00B95283" w:rsidP="00D22EFF">
      <w:pPr>
        <w:pStyle w:val="PargrafodaLista"/>
        <w:numPr>
          <w:ilvl w:val="2"/>
          <w:numId w:val="1"/>
        </w:numPr>
        <w:rPr>
          <w:rFonts w:ascii="Times New Roman" w:hAnsi="Times New Roman" w:cs="Times New Roman"/>
          <w:sz w:val="24"/>
          <w:szCs w:val="24"/>
        </w:rPr>
      </w:pPr>
      <w:r>
        <w:rPr>
          <w:rFonts w:ascii="Times New Roman" w:hAnsi="Times New Roman" w:cs="Times New Roman"/>
          <w:sz w:val="24"/>
          <w:szCs w:val="24"/>
        </w:rPr>
        <w:t xml:space="preserve">3 = </w:t>
      </w:r>
      <w:r w:rsidRPr="00D22EFF">
        <w:rPr>
          <w:rFonts w:ascii="Times New Roman" w:hAnsi="Times New Roman" w:cs="Times New Roman"/>
          <w:sz w:val="24"/>
          <w:szCs w:val="24"/>
        </w:rPr>
        <w:t>neutro</w:t>
      </w:r>
      <w:r w:rsidR="00D22EFF" w:rsidRPr="00D22EFF">
        <w:rPr>
          <w:rFonts w:ascii="Times New Roman" w:hAnsi="Times New Roman" w:cs="Times New Roman"/>
          <w:sz w:val="24"/>
          <w:szCs w:val="24"/>
        </w:rPr>
        <w:t>;</w:t>
      </w:r>
    </w:p>
    <w:p w14:paraId="64757A97" w14:textId="59D56FCA" w:rsidR="00B95283" w:rsidRDefault="00B95283" w:rsidP="00B95283">
      <w:pPr>
        <w:pStyle w:val="PargrafodaLista"/>
        <w:numPr>
          <w:ilvl w:val="2"/>
          <w:numId w:val="1"/>
        </w:numPr>
        <w:rPr>
          <w:rFonts w:ascii="Times New Roman" w:hAnsi="Times New Roman" w:cs="Times New Roman"/>
          <w:sz w:val="24"/>
          <w:szCs w:val="24"/>
        </w:rPr>
      </w:pPr>
      <w:r>
        <w:rPr>
          <w:rFonts w:ascii="Times New Roman" w:hAnsi="Times New Roman" w:cs="Times New Roman"/>
          <w:sz w:val="24"/>
          <w:szCs w:val="24"/>
        </w:rPr>
        <w:t xml:space="preserve">2 = </w:t>
      </w:r>
      <w:r w:rsidRPr="00D22EFF">
        <w:rPr>
          <w:rFonts w:ascii="Times New Roman" w:hAnsi="Times New Roman" w:cs="Times New Roman"/>
          <w:sz w:val="24"/>
          <w:szCs w:val="24"/>
        </w:rPr>
        <w:t>pouco</w:t>
      </w:r>
      <w:r w:rsidR="00D22EFF" w:rsidRPr="00D22EFF">
        <w:rPr>
          <w:rFonts w:ascii="Times New Roman" w:hAnsi="Times New Roman" w:cs="Times New Roman"/>
          <w:sz w:val="24"/>
          <w:szCs w:val="24"/>
        </w:rPr>
        <w:t xml:space="preserve"> importante;</w:t>
      </w:r>
    </w:p>
    <w:p w14:paraId="12E512A8" w14:textId="61629C22" w:rsidR="00D22EFF" w:rsidRPr="00B95283" w:rsidRDefault="00B95283" w:rsidP="00B95283">
      <w:pPr>
        <w:pStyle w:val="PargrafodaLista"/>
        <w:numPr>
          <w:ilvl w:val="2"/>
          <w:numId w:val="1"/>
        </w:numPr>
        <w:rPr>
          <w:rFonts w:ascii="Times New Roman" w:hAnsi="Times New Roman" w:cs="Times New Roman"/>
          <w:sz w:val="24"/>
          <w:szCs w:val="24"/>
        </w:rPr>
      </w:pPr>
      <w:r w:rsidRPr="00B95283">
        <w:rPr>
          <w:rFonts w:ascii="Times New Roman" w:hAnsi="Times New Roman" w:cs="Times New Roman"/>
          <w:sz w:val="24"/>
          <w:szCs w:val="24"/>
        </w:rPr>
        <w:t>1 = irrelevante</w:t>
      </w:r>
      <w:r w:rsidR="00D22EFF" w:rsidRPr="00B95283">
        <w:rPr>
          <w:rFonts w:ascii="Times New Roman" w:hAnsi="Times New Roman" w:cs="Times New Roman"/>
          <w:sz w:val="24"/>
          <w:szCs w:val="24"/>
        </w:rPr>
        <w:t>.</w:t>
      </w:r>
    </w:p>
    <w:p w14:paraId="41FA41E9" w14:textId="21FA38FD" w:rsidR="00B95283" w:rsidRDefault="00D22EFF" w:rsidP="00B95283">
      <w:pPr>
        <w:pStyle w:val="PargrafodaLista"/>
        <w:numPr>
          <w:ilvl w:val="1"/>
          <w:numId w:val="1"/>
        </w:numPr>
        <w:rPr>
          <w:rFonts w:ascii="Times New Roman" w:hAnsi="Times New Roman" w:cs="Times New Roman"/>
          <w:sz w:val="24"/>
          <w:szCs w:val="24"/>
        </w:rPr>
      </w:pPr>
      <w:r w:rsidRPr="00D22EFF">
        <w:rPr>
          <w:rFonts w:ascii="Times New Roman" w:hAnsi="Times New Roman" w:cs="Times New Roman"/>
          <w:sz w:val="24"/>
          <w:szCs w:val="24"/>
        </w:rPr>
        <w:t>Grau de influência do in</w:t>
      </w:r>
      <w:r w:rsidR="00B95283">
        <w:rPr>
          <w:rFonts w:ascii="Times New Roman" w:hAnsi="Times New Roman" w:cs="Times New Roman"/>
          <w:sz w:val="24"/>
          <w:szCs w:val="24"/>
        </w:rPr>
        <w:t>dicador nas tomadas de decisões,</w:t>
      </w:r>
      <w:r w:rsidR="00B95283" w:rsidRPr="00B95283">
        <w:rPr>
          <w:rFonts w:ascii="Times New Roman" w:hAnsi="Times New Roman" w:cs="Times New Roman"/>
          <w:sz w:val="24"/>
          <w:szCs w:val="24"/>
        </w:rPr>
        <w:t xml:space="preserve"> </w:t>
      </w:r>
      <w:r w:rsidR="00B95283">
        <w:rPr>
          <w:rFonts w:ascii="Times New Roman" w:hAnsi="Times New Roman" w:cs="Times New Roman"/>
          <w:sz w:val="24"/>
          <w:szCs w:val="24"/>
        </w:rPr>
        <w:t>a ser avaliada de acordo com a Escala Likert, onde:</w:t>
      </w:r>
    </w:p>
    <w:p w14:paraId="068936C0" w14:textId="6B6137FE" w:rsidR="00B95283" w:rsidRPr="00B95283" w:rsidRDefault="00B95283" w:rsidP="00B95283">
      <w:pPr>
        <w:pStyle w:val="PargrafodaLista"/>
        <w:numPr>
          <w:ilvl w:val="2"/>
          <w:numId w:val="1"/>
        </w:numPr>
        <w:rPr>
          <w:rFonts w:ascii="Times New Roman" w:hAnsi="Times New Roman" w:cs="Times New Roman"/>
          <w:sz w:val="24"/>
          <w:szCs w:val="24"/>
        </w:rPr>
      </w:pPr>
      <w:r>
        <w:rPr>
          <w:rFonts w:ascii="Times New Roman" w:hAnsi="Times New Roman" w:cs="Times New Roman"/>
          <w:sz w:val="24"/>
          <w:szCs w:val="24"/>
        </w:rPr>
        <w:t>5 = m</w:t>
      </w:r>
      <w:r w:rsidRPr="00B95283">
        <w:rPr>
          <w:rFonts w:ascii="Times New Roman" w:hAnsi="Times New Roman" w:cs="Times New Roman"/>
          <w:sz w:val="24"/>
          <w:szCs w:val="24"/>
        </w:rPr>
        <w:t>uitíssimo influente;</w:t>
      </w:r>
    </w:p>
    <w:p w14:paraId="590604F1" w14:textId="4512D5D1" w:rsidR="00B95283" w:rsidRPr="00B95283" w:rsidRDefault="00B95283" w:rsidP="00B95283">
      <w:pPr>
        <w:pStyle w:val="PargrafodaLista"/>
        <w:numPr>
          <w:ilvl w:val="2"/>
          <w:numId w:val="1"/>
        </w:numPr>
        <w:rPr>
          <w:rFonts w:ascii="Times New Roman" w:hAnsi="Times New Roman" w:cs="Times New Roman"/>
          <w:sz w:val="24"/>
          <w:szCs w:val="24"/>
        </w:rPr>
      </w:pPr>
      <w:r>
        <w:rPr>
          <w:rFonts w:ascii="Times New Roman" w:hAnsi="Times New Roman" w:cs="Times New Roman"/>
          <w:sz w:val="24"/>
          <w:szCs w:val="24"/>
        </w:rPr>
        <w:t>4 = m</w:t>
      </w:r>
      <w:r w:rsidRPr="00B95283">
        <w:rPr>
          <w:rFonts w:ascii="Times New Roman" w:hAnsi="Times New Roman" w:cs="Times New Roman"/>
          <w:sz w:val="24"/>
          <w:szCs w:val="24"/>
        </w:rPr>
        <w:t>uito influente;</w:t>
      </w:r>
    </w:p>
    <w:p w14:paraId="56F87D4C" w14:textId="2D3F7E1E" w:rsidR="00B95283" w:rsidRPr="00B95283" w:rsidRDefault="00B95283" w:rsidP="00B95283">
      <w:pPr>
        <w:pStyle w:val="PargrafodaLista"/>
        <w:numPr>
          <w:ilvl w:val="2"/>
          <w:numId w:val="1"/>
        </w:numPr>
        <w:rPr>
          <w:rFonts w:ascii="Times New Roman" w:hAnsi="Times New Roman" w:cs="Times New Roman"/>
          <w:sz w:val="24"/>
          <w:szCs w:val="24"/>
        </w:rPr>
      </w:pPr>
      <w:r>
        <w:rPr>
          <w:rFonts w:ascii="Times New Roman" w:hAnsi="Times New Roman" w:cs="Times New Roman"/>
          <w:sz w:val="24"/>
          <w:szCs w:val="24"/>
        </w:rPr>
        <w:t>3 = i</w:t>
      </w:r>
      <w:r w:rsidRPr="00B95283">
        <w:rPr>
          <w:rFonts w:ascii="Times New Roman" w:hAnsi="Times New Roman" w:cs="Times New Roman"/>
          <w:sz w:val="24"/>
          <w:szCs w:val="24"/>
        </w:rPr>
        <w:t>nfluente;</w:t>
      </w:r>
    </w:p>
    <w:p w14:paraId="15EBAE18" w14:textId="2C23059B" w:rsidR="00B95283" w:rsidRPr="00B95283" w:rsidRDefault="00B95283" w:rsidP="00B95283">
      <w:pPr>
        <w:pStyle w:val="PargrafodaLista"/>
        <w:numPr>
          <w:ilvl w:val="2"/>
          <w:numId w:val="1"/>
        </w:numPr>
        <w:rPr>
          <w:rFonts w:ascii="Times New Roman" w:hAnsi="Times New Roman" w:cs="Times New Roman"/>
          <w:sz w:val="24"/>
          <w:szCs w:val="24"/>
        </w:rPr>
      </w:pPr>
      <w:r>
        <w:rPr>
          <w:rFonts w:ascii="Times New Roman" w:hAnsi="Times New Roman" w:cs="Times New Roman"/>
          <w:sz w:val="24"/>
          <w:szCs w:val="24"/>
        </w:rPr>
        <w:t>2 = p</w:t>
      </w:r>
      <w:r w:rsidRPr="00B95283">
        <w:rPr>
          <w:rFonts w:ascii="Times New Roman" w:hAnsi="Times New Roman" w:cs="Times New Roman"/>
          <w:sz w:val="24"/>
          <w:szCs w:val="24"/>
        </w:rPr>
        <w:t>ouco influente;</w:t>
      </w:r>
    </w:p>
    <w:p w14:paraId="07B3AA36" w14:textId="52AC5AC4" w:rsidR="00D22EFF" w:rsidRPr="00B95283" w:rsidRDefault="00B95283" w:rsidP="00B95283">
      <w:pPr>
        <w:pStyle w:val="PargrafodaLista"/>
        <w:numPr>
          <w:ilvl w:val="2"/>
          <w:numId w:val="1"/>
        </w:numPr>
        <w:rPr>
          <w:rFonts w:ascii="Times New Roman" w:hAnsi="Times New Roman" w:cs="Times New Roman"/>
          <w:sz w:val="24"/>
          <w:szCs w:val="24"/>
        </w:rPr>
      </w:pPr>
      <w:r>
        <w:rPr>
          <w:rFonts w:ascii="Times New Roman" w:hAnsi="Times New Roman" w:cs="Times New Roman"/>
          <w:sz w:val="24"/>
          <w:szCs w:val="24"/>
        </w:rPr>
        <w:t>1 = i</w:t>
      </w:r>
      <w:r w:rsidRPr="00B95283">
        <w:rPr>
          <w:rFonts w:ascii="Times New Roman" w:hAnsi="Times New Roman" w:cs="Times New Roman"/>
          <w:sz w:val="24"/>
          <w:szCs w:val="24"/>
        </w:rPr>
        <w:t xml:space="preserve">rrelevante. </w:t>
      </w:r>
    </w:p>
    <w:p w14:paraId="6F6B0106" w14:textId="5F36797F" w:rsidR="00D22EFF" w:rsidRDefault="00B95283" w:rsidP="00B95283">
      <w:pPr>
        <w:pStyle w:val="PargrafodaLista"/>
        <w:numPr>
          <w:ilvl w:val="1"/>
          <w:numId w:val="1"/>
        </w:numPr>
        <w:rPr>
          <w:rFonts w:ascii="Times New Roman" w:hAnsi="Times New Roman" w:cs="Times New Roman"/>
          <w:sz w:val="24"/>
          <w:szCs w:val="24"/>
        </w:rPr>
      </w:pPr>
      <w:r>
        <w:rPr>
          <w:rFonts w:ascii="Times New Roman" w:hAnsi="Times New Roman" w:cs="Times New Roman"/>
          <w:sz w:val="24"/>
          <w:szCs w:val="24"/>
        </w:rPr>
        <w:t>Coleta da informação atual, por análise de frequência, com as seguintes opções de respostas:</w:t>
      </w:r>
    </w:p>
    <w:p w14:paraId="75159D26" w14:textId="77777777" w:rsidR="00B95283" w:rsidRPr="00B95283" w:rsidRDefault="00B95283" w:rsidP="00B95283">
      <w:pPr>
        <w:pStyle w:val="PargrafodaLista"/>
        <w:numPr>
          <w:ilvl w:val="2"/>
          <w:numId w:val="1"/>
        </w:numPr>
        <w:rPr>
          <w:rFonts w:ascii="Times New Roman" w:hAnsi="Times New Roman" w:cs="Times New Roman"/>
          <w:sz w:val="24"/>
          <w:szCs w:val="24"/>
        </w:rPr>
      </w:pPr>
      <w:r w:rsidRPr="00B95283">
        <w:rPr>
          <w:rFonts w:ascii="Times New Roman" w:hAnsi="Times New Roman" w:cs="Times New Roman"/>
          <w:sz w:val="24"/>
          <w:szCs w:val="24"/>
        </w:rPr>
        <w:t>Já coleta de maneira similar ao GRI;</w:t>
      </w:r>
    </w:p>
    <w:p w14:paraId="593AB60F" w14:textId="77777777" w:rsidR="00B95283" w:rsidRPr="00B95283" w:rsidRDefault="00B95283" w:rsidP="00B95283">
      <w:pPr>
        <w:pStyle w:val="PargrafodaLista"/>
        <w:numPr>
          <w:ilvl w:val="2"/>
          <w:numId w:val="1"/>
        </w:numPr>
        <w:rPr>
          <w:rFonts w:ascii="Times New Roman" w:hAnsi="Times New Roman" w:cs="Times New Roman"/>
          <w:sz w:val="24"/>
          <w:szCs w:val="24"/>
        </w:rPr>
      </w:pPr>
      <w:r w:rsidRPr="00B95283">
        <w:rPr>
          <w:rFonts w:ascii="Times New Roman" w:hAnsi="Times New Roman" w:cs="Times New Roman"/>
          <w:sz w:val="24"/>
          <w:szCs w:val="24"/>
        </w:rPr>
        <w:t>Não coleta igual, mas conseguiria com pouco esforço;</w:t>
      </w:r>
    </w:p>
    <w:p w14:paraId="3C675602" w14:textId="77777777" w:rsidR="00B95283" w:rsidRPr="00B95283" w:rsidRDefault="00B95283" w:rsidP="00B95283">
      <w:pPr>
        <w:pStyle w:val="PargrafodaLista"/>
        <w:numPr>
          <w:ilvl w:val="2"/>
          <w:numId w:val="1"/>
        </w:numPr>
        <w:rPr>
          <w:rFonts w:ascii="Times New Roman" w:hAnsi="Times New Roman" w:cs="Times New Roman"/>
          <w:sz w:val="24"/>
          <w:szCs w:val="24"/>
        </w:rPr>
      </w:pPr>
      <w:r w:rsidRPr="00B95283">
        <w:rPr>
          <w:rFonts w:ascii="Times New Roman" w:hAnsi="Times New Roman" w:cs="Times New Roman"/>
          <w:sz w:val="24"/>
          <w:szCs w:val="24"/>
        </w:rPr>
        <w:t>Não coleta igual, além de necessitar de muito esforço para coleta;</w:t>
      </w:r>
    </w:p>
    <w:p w14:paraId="47DFE7FC" w14:textId="30FF44AA" w:rsidR="00B95283" w:rsidRDefault="00B95283" w:rsidP="00B95283">
      <w:pPr>
        <w:pStyle w:val="PargrafodaLista"/>
        <w:numPr>
          <w:ilvl w:val="2"/>
          <w:numId w:val="1"/>
        </w:numPr>
        <w:rPr>
          <w:rFonts w:ascii="Times New Roman" w:hAnsi="Times New Roman" w:cs="Times New Roman"/>
          <w:sz w:val="24"/>
          <w:szCs w:val="24"/>
        </w:rPr>
      </w:pPr>
      <w:r w:rsidRPr="00B95283">
        <w:rPr>
          <w:rFonts w:ascii="Times New Roman" w:hAnsi="Times New Roman" w:cs="Times New Roman"/>
          <w:sz w:val="24"/>
          <w:szCs w:val="24"/>
        </w:rPr>
        <w:t>Não aplicável.</w:t>
      </w:r>
    </w:p>
    <w:p w14:paraId="4BFA0B45" w14:textId="0E7849C0" w:rsidR="00B95283" w:rsidRPr="00B95283" w:rsidRDefault="00B95283" w:rsidP="00B95283">
      <w:pPr>
        <w:rPr>
          <w:rFonts w:ascii="Times New Roman" w:hAnsi="Times New Roman" w:cs="Times New Roman"/>
          <w:sz w:val="24"/>
          <w:szCs w:val="24"/>
        </w:rPr>
      </w:pPr>
      <w:r>
        <w:rPr>
          <w:rFonts w:ascii="Times New Roman" w:hAnsi="Times New Roman" w:cs="Times New Roman"/>
          <w:sz w:val="24"/>
          <w:szCs w:val="24"/>
        </w:rPr>
        <w:t>A amostra será selecionada diante das empresas associadas na Associação de Empresas do Mercado Imobiliário de Pernambuco (ADEMI-PE), onde serão entrevistadas as empresas construtoras de edificações de médio ou grande porte, ou seja, que possuam mais que 100 colaboradores, atualmente.</w:t>
      </w:r>
    </w:p>
    <w:p w14:paraId="450FF38C" w14:textId="754DDFC2" w:rsidR="00B95283" w:rsidRDefault="00B95283" w:rsidP="00B95283">
      <w:pPr>
        <w:rPr>
          <w:rFonts w:ascii="Times New Roman" w:hAnsi="Times New Roman" w:cs="Times New Roman"/>
          <w:sz w:val="24"/>
          <w:szCs w:val="24"/>
        </w:rPr>
      </w:pPr>
      <w:r w:rsidRPr="00B95283">
        <w:rPr>
          <w:rFonts w:ascii="Times New Roman" w:hAnsi="Times New Roman" w:cs="Times New Roman"/>
          <w:sz w:val="24"/>
          <w:szCs w:val="24"/>
        </w:rPr>
        <w:t>Com a obtenção das informações dos indicadores, pretende-se explorar a percepção de valor dada à cada tópico e indicador pelas empresas locais. Desta maneira, observa-se quais dos indicadores selecionados para pesquisa são mais propícios de serem implementados em empresas construtoras de edificações verticais no estágio atual de desenvolvimento local. O próprio Global Reporting Initiative (2016) sugere a priorização dos indic</w:t>
      </w:r>
      <w:r>
        <w:rPr>
          <w:rFonts w:ascii="Times New Roman" w:hAnsi="Times New Roman" w:cs="Times New Roman"/>
          <w:sz w:val="24"/>
          <w:szCs w:val="24"/>
        </w:rPr>
        <w:t xml:space="preserve">adores de acordo com a Figura </w:t>
      </w:r>
      <w:r w:rsidRPr="00B95283">
        <w:rPr>
          <w:rFonts w:ascii="Times New Roman" w:hAnsi="Times New Roman" w:cs="Times New Roman"/>
          <w:sz w:val="24"/>
          <w:szCs w:val="24"/>
        </w:rPr>
        <w:t xml:space="preserve">1, que compara a percepção de valor do indicador em termos de importância dos impactos econômicos, ambientais e sociais (eixo </w:t>
      </w:r>
      <w:r w:rsidRPr="00B95283">
        <w:rPr>
          <w:rFonts w:ascii="Times New Roman" w:hAnsi="Times New Roman" w:cs="Times New Roman"/>
          <w:sz w:val="24"/>
          <w:szCs w:val="24"/>
        </w:rPr>
        <w:lastRenderedPageBreak/>
        <w:t>horizontal), com a influência do indicador nas tomadas de decisões da empresa (eixo vertical).</w:t>
      </w:r>
    </w:p>
    <w:p w14:paraId="1628A696" w14:textId="39C2FB8C" w:rsidR="00B95283" w:rsidRDefault="00B95283" w:rsidP="00B95283">
      <w:pPr>
        <w:pStyle w:val="Figura"/>
      </w:pPr>
      <w:bookmarkStart w:id="2" w:name="_Ref14179177"/>
      <w:bookmarkStart w:id="3" w:name="_Toc15932037"/>
      <w:r w:rsidRPr="006D769F">
        <w:rPr>
          <w:rStyle w:val="FiguraChar"/>
        </w:rPr>
        <w:t xml:space="preserve">Figura </w:t>
      </w:r>
      <w:bookmarkEnd w:id="2"/>
      <w:r>
        <w:rPr>
          <w:rStyle w:val="FiguraChar"/>
        </w:rPr>
        <w:t xml:space="preserve">1 – </w:t>
      </w:r>
      <w:r w:rsidRPr="006D769F">
        <w:rPr>
          <w:rStyle w:val="FiguraChar"/>
        </w:rPr>
        <w:t>Representação visual da priorização</w:t>
      </w:r>
      <w:r>
        <w:t xml:space="preserve"> dos tópicos</w:t>
      </w:r>
      <w:bookmarkEnd w:id="3"/>
    </w:p>
    <w:p w14:paraId="308B9166" w14:textId="4E294832" w:rsidR="00B95283" w:rsidRDefault="00B95283" w:rsidP="00B95283">
      <w:pPr>
        <w:jc w:val="center"/>
      </w:pPr>
      <w:r w:rsidRPr="00B95283">
        <w:rPr>
          <w:noProof/>
          <w:lang w:eastAsia="pt-BR"/>
        </w:rPr>
        <mc:AlternateContent>
          <mc:Choice Requires="wpg">
            <w:drawing>
              <wp:inline distT="0" distB="0" distL="0" distR="0" wp14:anchorId="64246FD3" wp14:editId="64E2DCCC">
                <wp:extent cx="3257550" cy="3371850"/>
                <wp:effectExtent l="0" t="0" r="0" b="0"/>
                <wp:docPr id="7" name="Agrupar 6"/>
                <wp:cNvGraphicFramePr/>
                <a:graphic xmlns:a="http://schemas.openxmlformats.org/drawingml/2006/main">
                  <a:graphicData uri="http://schemas.microsoft.com/office/word/2010/wordprocessingGroup">
                    <wpg:wgp>
                      <wpg:cNvGrpSpPr/>
                      <wpg:grpSpPr>
                        <a:xfrm>
                          <a:off x="0" y="0"/>
                          <a:ext cx="3257550" cy="3371850"/>
                          <a:chOff x="0" y="0"/>
                          <a:chExt cx="3257550" cy="3371850"/>
                        </a:xfrm>
                      </wpg:grpSpPr>
                      <pic:pic xmlns:pic="http://schemas.openxmlformats.org/drawingml/2006/picture">
                        <pic:nvPicPr>
                          <pic:cNvPr id="2" name="Imagem 2" descr="image"/>
                          <pic:cNvPicPr/>
                        </pic:nvPicPr>
                        <pic:blipFill>
                          <a:blip r:embed="rId8">
                            <a:extLst>
                              <a:ext uri="{28A0092B-C50C-407E-A947-70E740481C1C}">
                                <a14:useLocalDpi xmlns:a14="http://schemas.microsoft.com/office/drawing/2010/main" val="0"/>
                              </a:ext>
                            </a:extLst>
                          </a:blip>
                          <a:srcRect l="2774" t="12962" r="2478" b="1340"/>
                          <a:stretch>
                            <a:fillRect/>
                          </a:stretch>
                        </pic:blipFill>
                        <pic:spPr bwMode="auto">
                          <a:xfrm>
                            <a:off x="0" y="0"/>
                            <a:ext cx="3257550" cy="3371850"/>
                          </a:xfrm>
                          <a:prstGeom prst="rect">
                            <a:avLst/>
                          </a:prstGeom>
                          <a:noFill/>
                          <a:ln>
                            <a:noFill/>
                          </a:ln>
                        </pic:spPr>
                      </pic:pic>
                      <wps:wsp>
                        <wps:cNvPr id="3" name="Retângulo 3"/>
                        <wps:cNvSpPr/>
                        <wps:spPr>
                          <a:xfrm>
                            <a:off x="415671" y="2764917"/>
                            <a:ext cx="2569464" cy="493776"/>
                          </a:xfrm>
                          <a:prstGeom prst="rect">
                            <a:avLst/>
                          </a:prstGeom>
                          <a:solidFill>
                            <a:srgbClr val="EBE8E8"/>
                          </a:solidFill>
                          <a:ln>
                            <a:solidFill>
                              <a:srgbClr val="EBE8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E5E86F" w14:textId="77777777" w:rsidR="002745DF" w:rsidRDefault="002745DF" w:rsidP="00B95283">
                              <w:pPr>
                                <w:pStyle w:val="NormalWeb"/>
                                <w:spacing w:before="0" w:beforeAutospacing="0" w:after="0" w:afterAutospacing="0"/>
                                <w:jc w:val="center"/>
                              </w:pPr>
                              <w:r>
                                <w:rPr>
                                  <w:color w:val="09264C"/>
                                  <w:kern w:val="24"/>
                                  <w:sz w:val="28"/>
                                  <w:szCs w:val="28"/>
                                </w:rPr>
                                <w:t>Nível de importância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tângulo 4"/>
                        <wps:cNvSpPr/>
                        <wps:spPr>
                          <a:xfrm rot="16200000">
                            <a:off x="-1037844" y="1307973"/>
                            <a:ext cx="2569464" cy="493776"/>
                          </a:xfrm>
                          <a:prstGeom prst="rect">
                            <a:avLst/>
                          </a:prstGeom>
                          <a:solidFill>
                            <a:srgbClr val="EBE8E8"/>
                          </a:solidFill>
                          <a:ln>
                            <a:solidFill>
                              <a:srgbClr val="EBE8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A48B6" w14:textId="77777777" w:rsidR="002745DF" w:rsidRDefault="002745DF" w:rsidP="00B95283">
                              <w:pPr>
                                <w:pStyle w:val="NormalWeb"/>
                                <w:spacing w:before="0" w:beforeAutospacing="0" w:after="0" w:afterAutospacing="0"/>
                                <w:jc w:val="center"/>
                              </w:pPr>
                              <w:r>
                                <w:rPr>
                                  <w:color w:val="09264C"/>
                                  <w:kern w:val="24"/>
                                  <w:sz w:val="28"/>
                                  <w:szCs w:val="28"/>
                                </w:rPr>
                                <w:t>Nível de influência nas decisões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246FD3" id="Agrupar 6" o:spid="_x0000_s1026" style="width:256.5pt;height:265.5pt;mso-position-horizontal-relative:char;mso-position-vertical-relative:line" coordsize="32575,33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alt="image" style="position:absolute;width:32575;height:33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">
                  <v:imagedata r:id="rId9" o:title="image" croptop="8495f" cropbottom="878f" cropleft="1818f" cropright="1624f"/>
                </v:shape>
                <v:rect id="Retângulo 3" o:spid="_x0000_s1028" style="position:absolute;left:4156;top:27649;width:25695;height:4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" fillcolor="#ebe8e8" strokecolor="#ebe8e8" strokeweight="1pt">
                  <v:textbox>
                    <w:txbxContent>
                      <w:p w14:paraId="4CE5E86F" w14:textId="77777777" w:rsidR="002745DF" w:rsidRDefault="002745DF" w:rsidP="00B95283">
                        <w:pPr>
                          <w:pStyle w:val="NormalWeb"/>
                          <w:spacing w:before="0" w:beforeAutospacing="0" w:after="0" w:afterAutospacing="0"/>
                          <w:jc w:val="center"/>
                        </w:pPr>
                        <w:r>
                          <w:rPr>
                            <w:color w:val="09264C"/>
                            <w:kern w:val="24"/>
                            <w:sz w:val="28"/>
                            <w:szCs w:val="28"/>
                          </w:rPr>
                          <w:t>Nível de importância</w:t>
                        </w:r>
                      </w:p>
                    </w:txbxContent>
                  </v:textbox>
                </v:rect>
                <v:rect id="Retângulo 4" o:spid="_x0000_s1029" style="position:absolute;left:-10378;top:13079;width:25694;height:49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" fillcolor="#ebe8e8" strokecolor="#ebe8e8" strokeweight="1pt">
                  <v:textbox>
                    <w:txbxContent>
                      <w:p w14:paraId="0D7A48B6" w14:textId="77777777" w:rsidR="002745DF" w:rsidRDefault="002745DF" w:rsidP="00B95283">
                        <w:pPr>
                          <w:pStyle w:val="NormalWeb"/>
                          <w:spacing w:before="0" w:beforeAutospacing="0" w:after="0" w:afterAutospacing="0"/>
                          <w:jc w:val="center"/>
                        </w:pPr>
                        <w:r>
                          <w:rPr>
                            <w:color w:val="09264C"/>
                            <w:kern w:val="24"/>
                            <w:sz w:val="28"/>
                            <w:szCs w:val="28"/>
                          </w:rPr>
                          <w:t>Nível de influência nas decisões</w:t>
                        </w:r>
                      </w:p>
                    </w:txbxContent>
                  </v:textbox>
                </v:rect>
                <w10:anchorlock/>
              </v:group>
            </w:pict>
          </mc:Fallback>
        </mc:AlternateContent>
      </w:r>
    </w:p>
    <w:p w14:paraId="7F754598" w14:textId="29842918" w:rsidR="00B95283" w:rsidRDefault="00B95283" w:rsidP="00B95283">
      <w:pPr>
        <w:jc w:val="center"/>
      </w:pPr>
    </w:p>
    <w:p w14:paraId="7555C5C7" w14:textId="70187503" w:rsidR="00B95283" w:rsidRDefault="00B95283" w:rsidP="00B95283">
      <w:pPr>
        <w:pStyle w:val="Figura"/>
      </w:pPr>
      <w:r>
        <w:t xml:space="preserve">Fonte: Adaptado do </w:t>
      </w:r>
      <w:r>
        <w:fldChar w:fldCharType="begin" w:fldLock="1"/>
      </w:r>
      <w:r>
        <w:instrText>ADDIN CSL_CITATION {"citationItems":[{"id":"ITEM-1","itemData":{"author":[{"dropping-particle":"","family":"GRI","given":"","non-dropping-particle":"","parse-names":false,"suffix":""}],"id":"ITEM-1","issued":{"date-parts":[["2016"]]},"title":"Gri 101: fundamentos 2016 101","type":"article-journal"},"uris":["http://www.mendeley.com/documents/?uuid=4e2f2402-3431-47ef-a93e-0b88f4babcb5"]}],"mendeley":{"formattedCitation":"(GRI, 2016)","manualFormatting":"Global Reporting Initiative (2016)","plainTextFormattedCitation":"(GRI, 2016)","previouslyFormattedCitation":"(GRI, 2016)"},"properties":{"noteIndex":0},"schema":"https://github.com/citation-style-language/schema/raw/master/csl-citation.json"}</w:instrText>
      </w:r>
      <w:r>
        <w:fldChar w:fldCharType="separate"/>
      </w:r>
      <w:r w:rsidRPr="006D769F">
        <w:rPr>
          <w:noProof/>
        </w:rPr>
        <w:t>G</w:t>
      </w:r>
      <w:r>
        <w:rPr>
          <w:noProof/>
        </w:rPr>
        <w:t xml:space="preserve">lobal </w:t>
      </w:r>
      <w:r w:rsidRPr="006D769F">
        <w:rPr>
          <w:noProof/>
        </w:rPr>
        <w:t>R</w:t>
      </w:r>
      <w:r>
        <w:rPr>
          <w:noProof/>
        </w:rPr>
        <w:t xml:space="preserve">eporting </w:t>
      </w:r>
      <w:r w:rsidRPr="006D769F">
        <w:rPr>
          <w:noProof/>
        </w:rPr>
        <w:t>I</w:t>
      </w:r>
      <w:r>
        <w:rPr>
          <w:noProof/>
        </w:rPr>
        <w:t>nitiative (</w:t>
      </w:r>
      <w:r w:rsidRPr="006D769F">
        <w:rPr>
          <w:noProof/>
        </w:rPr>
        <w:t>2016)</w:t>
      </w:r>
      <w:r>
        <w:fldChar w:fldCharType="end"/>
      </w:r>
      <w:r>
        <w:t>.</w:t>
      </w:r>
    </w:p>
    <w:p w14:paraId="050B85DB" w14:textId="77777777" w:rsidR="00B95283" w:rsidRPr="00B95283" w:rsidRDefault="00B95283" w:rsidP="00B95283">
      <w:pPr>
        <w:rPr>
          <w:rFonts w:ascii="Times New Roman" w:hAnsi="Times New Roman" w:cs="Times New Roman"/>
          <w:sz w:val="24"/>
          <w:szCs w:val="24"/>
        </w:rPr>
      </w:pPr>
    </w:p>
    <w:p w14:paraId="3899C1DC" w14:textId="77777777" w:rsidR="002E467B" w:rsidRDefault="002E467B" w:rsidP="00436224">
      <w:pPr>
        <w:rPr>
          <w:rFonts w:ascii="Times New Roman" w:hAnsi="Times New Roman" w:cs="Times New Roman"/>
          <w:b/>
          <w:sz w:val="24"/>
          <w:szCs w:val="24"/>
        </w:rPr>
      </w:pPr>
      <w:r>
        <w:rPr>
          <w:rFonts w:ascii="Times New Roman" w:hAnsi="Times New Roman" w:cs="Times New Roman"/>
          <w:b/>
          <w:sz w:val="24"/>
          <w:szCs w:val="24"/>
        </w:rPr>
        <w:t>RESULTADOS</w:t>
      </w:r>
    </w:p>
    <w:p w14:paraId="7DAED7D4" w14:textId="2F77692B" w:rsidR="002E467B" w:rsidRDefault="005053E1" w:rsidP="002E467B">
      <w:pPr>
        <w:rPr>
          <w:rFonts w:ascii="Times New Roman" w:hAnsi="Times New Roman" w:cs="Times New Roman"/>
          <w:sz w:val="24"/>
          <w:szCs w:val="24"/>
        </w:rPr>
      </w:pPr>
      <w:r>
        <w:rPr>
          <w:rFonts w:ascii="Times New Roman" w:hAnsi="Times New Roman" w:cs="Times New Roman"/>
          <w:sz w:val="24"/>
          <w:szCs w:val="24"/>
        </w:rPr>
        <w:t>O levantamento de dados, através das entrevistas semiestruturadas tiverem início em setembro de 2019, até o momento foram entrevistas 10% das empresas que se enquadram no universo da pesquisa: construtoras de médio e grande porte que atuam na Região Metropolitana do Recife. (RMR).</w:t>
      </w:r>
    </w:p>
    <w:p w14:paraId="130A71E3" w14:textId="7FFD0DC9" w:rsidR="00F92A2D" w:rsidRDefault="00F92A2D" w:rsidP="002E467B">
      <w:pPr>
        <w:rPr>
          <w:rFonts w:ascii="Times New Roman" w:hAnsi="Times New Roman" w:cs="Times New Roman"/>
          <w:sz w:val="24"/>
          <w:szCs w:val="24"/>
        </w:rPr>
      </w:pPr>
      <w:r>
        <w:rPr>
          <w:rFonts w:ascii="Times New Roman" w:hAnsi="Times New Roman" w:cs="Times New Roman"/>
          <w:sz w:val="24"/>
          <w:szCs w:val="24"/>
        </w:rPr>
        <w:t>Dentre as 96 empresas associadas à ADEMI-PE, 28% não se ocupam com construção de edifícios (Figura 2), além do mais, das 69 empresas construtoras de edifícios, 47 (68%) possuem, atualmente, menos que 100 colaboradores. Sendo assim, o universo da pesquisa é definido pelas 22 empresas restantes (Figura 3).</w:t>
      </w:r>
    </w:p>
    <w:p w14:paraId="5482033F" w14:textId="77777777" w:rsidR="00F92A2D" w:rsidRDefault="00F92A2D" w:rsidP="002E467B">
      <w:pPr>
        <w:rPr>
          <w:rFonts w:ascii="Times New Roman" w:hAnsi="Times New Roman" w:cs="Times New Roman"/>
          <w:sz w:val="24"/>
          <w:szCs w:val="24"/>
        </w:rPr>
      </w:pPr>
    </w:p>
    <w:p w14:paraId="00CF84C2" w14:textId="1CA18448" w:rsidR="00F92A2D" w:rsidRDefault="00F92A2D" w:rsidP="00F92A2D">
      <w:pPr>
        <w:pStyle w:val="Figura"/>
      </w:pPr>
      <w:r>
        <w:t>Figura 2 - Ocupação das empresas associadas à ADEMI-PE.</w:t>
      </w:r>
    </w:p>
    <w:p w14:paraId="31B24DE4" w14:textId="7B5C729A" w:rsidR="005053E1" w:rsidRDefault="00F92A2D" w:rsidP="000924EB">
      <w:pPr>
        <w:jc w:val="center"/>
        <w:rPr>
          <w:rFonts w:ascii="Times New Roman" w:hAnsi="Times New Roman" w:cs="Times New Roman"/>
          <w:sz w:val="24"/>
          <w:szCs w:val="24"/>
        </w:rPr>
      </w:pPr>
      <w:r>
        <w:rPr>
          <w:noProof/>
          <w:lang w:eastAsia="pt-BR"/>
        </w:rPr>
        <w:lastRenderedPageBreak/>
        <w:drawing>
          <wp:inline distT="0" distB="0" distL="0" distR="0" wp14:anchorId="371313A6" wp14:editId="518326E1">
            <wp:extent cx="4152900" cy="256222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A583D8" w14:textId="4DC53299" w:rsidR="00F92A2D" w:rsidRPr="007D0059" w:rsidRDefault="00F92A2D" w:rsidP="002E467B">
      <w:pPr>
        <w:rPr>
          <w:rFonts w:ascii="Times New Roman" w:hAnsi="Times New Roman" w:cs="Times New Roman"/>
        </w:rPr>
      </w:pPr>
      <w:r w:rsidRPr="007D0059">
        <w:rPr>
          <w:rFonts w:ascii="Times New Roman" w:hAnsi="Times New Roman" w:cs="Times New Roman"/>
        </w:rPr>
        <w:t>Fonte: Autor (2019).</w:t>
      </w:r>
    </w:p>
    <w:p w14:paraId="6961A47F" w14:textId="64820A5D" w:rsidR="00F92A2D" w:rsidRPr="007D0059" w:rsidRDefault="00F92A2D" w:rsidP="00F92A2D">
      <w:pPr>
        <w:pStyle w:val="Figura"/>
        <w:rPr>
          <w:szCs w:val="22"/>
        </w:rPr>
      </w:pPr>
      <w:r w:rsidRPr="007D0059">
        <w:rPr>
          <w:szCs w:val="22"/>
        </w:rPr>
        <w:t>Figura 3 – Porte das construtoras associadas à ADEMI-PE, de acordo com quantidade de colaboradores.</w:t>
      </w:r>
    </w:p>
    <w:p w14:paraId="3EEAE8B1" w14:textId="6A9E37B7" w:rsidR="00F92A2D" w:rsidRDefault="00F92A2D" w:rsidP="000924EB">
      <w:pPr>
        <w:jc w:val="center"/>
        <w:rPr>
          <w:rFonts w:ascii="Times New Roman" w:hAnsi="Times New Roman" w:cs="Times New Roman"/>
          <w:sz w:val="24"/>
          <w:szCs w:val="24"/>
        </w:rPr>
      </w:pPr>
      <w:r>
        <w:rPr>
          <w:noProof/>
          <w:lang w:eastAsia="pt-BR"/>
        </w:rPr>
        <w:drawing>
          <wp:inline distT="0" distB="0" distL="0" distR="0" wp14:anchorId="1B3865ED" wp14:editId="01C2D468">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1A489D" w14:textId="5C606BCD" w:rsidR="007D0059" w:rsidRDefault="007D0059" w:rsidP="007D0059">
      <w:pPr>
        <w:rPr>
          <w:rFonts w:ascii="Times New Roman" w:hAnsi="Times New Roman" w:cs="Times New Roman"/>
          <w:szCs w:val="24"/>
        </w:rPr>
      </w:pPr>
      <w:r w:rsidRPr="007D0059">
        <w:rPr>
          <w:rFonts w:ascii="Times New Roman" w:hAnsi="Times New Roman" w:cs="Times New Roman"/>
          <w:szCs w:val="24"/>
        </w:rPr>
        <w:t>Fonte: Autor (2019).</w:t>
      </w:r>
    </w:p>
    <w:p w14:paraId="7A147D39" w14:textId="77777777" w:rsidR="007D0059" w:rsidRPr="007D0059" w:rsidRDefault="007D0059" w:rsidP="007D0059">
      <w:pPr>
        <w:rPr>
          <w:rFonts w:ascii="Times New Roman" w:hAnsi="Times New Roman" w:cs="Times New Roman"/>
          <w:szCs w:val="24"/>
        </w:rPr>
      </w:pPr>
    </w:p>
    <w:p w14:paraId="3E3493A8" w14:textId="77777777" w:rsidR="007D0059" w:rsidRDefault="007D0059" w:rsidP="007D0059">
      <w:pPr>
        <w:rPr>
          <w:rFonts w:ascii="Times New Roman" w:hAnsi="Times New Roman" w:cs="Times New Roman"/>
          <w:sz w:val="24"/>
          <w:szCs w:val="24"/>
        </w:rPr>
      </w:pPr>
      <w:r>
        <w:rPr>
          <w:rFonts w:ascii="Times New Roman" w:hAnsi="Times New Roman" w:cs="Times New Roman"/>
          <w:sz w:val="24"/>
          <w:szCs w:val="24"/>
        </w:rPr>
        <w:t>Os entrevistados</w:t>
      </w:r>
      <w:r w:rsidRPr="007D0059">
        <w:rPr>
          <w:rFonts w:ascii="Times New Roman" w:hAnsi="Times New Roman" w:cs="Times New Roman"/>
          <w:sz w:val="24"/>
          <w:szCs w:val="24"/>
        </w:rPr>
        <w:t xml:space="preserve"> responsáve</w:t>
      </w:r>
      <w:r>
        <w:rPr>
          <w:rFonts w:ascii="Times New Roman" w:hAnsi="Times New Roman" w:cs="Times New Roman"/>
          <w:sz w:val="24"/>
          <w:szCs w:val="24"/>
        </w:rPr>
        <w:t>is</w:t>
      </w:r>
      <w:r w:rsidRPr="007D0059">
        <w:rPr>
          <w:rFonts w:ascii="Times New Roman" w:hAnsi="Times New Roman" w:cs="Times New Roman"/>
          <w:sz w:val="24"/>
          <w:szCs w:val="24"/>
        </w:rPr>
        <w:t xml:space="preserve"> por disponibilizar</w:t>
      </w:r>
      <w:r>
        <w:rPr>
          <w:rFonts w:ascii="Times New Roman" w:hAnsi="Times New Roman" w:cs="Times New Roman"/>
          <w:sz w:val="24"/>
          <w:szCs w:val="24"/>
        </w:rPr>
        <w:t>em</w:t>
      </w:r>
      <w:r w:rsidRPr="007D0059">
        <w:rPr>
          <w:rFonts w:ascii="Times New Roman" w:hAnsi="Times New Roman" w:cs="Times New Roman"/>
          <w:sz w:val="24"/>
          <w:szCs w:val="24"/>
        </w:rPr>
        <w:t xml:space="preserve"> as informações </w:t>
      </w:r>
      <w:r>
        <w:rPr>
          <w:rFonts w:ascii="Times New Roman" w:hAnsi="Times New Roman" w:cs="Times New Roman"/>
          <w:sz w:val="24"/>
          <w:szCs w:val="24"/>
        </w:rPr>
        <w:t>foram</w:t>
      </w:r>
      <w:r w:rsidRPr="007D0059">
        <w:rPr>
          <w:rFonts w:ascii="Times New Roman" w:hAnsi="Times New Roman" w:cs="Times New Roman"/>
          <w:sz w:val="24"/>
          <w:szCs w:val="24"/>
        </w:rPr>
        <w:t xml:space="preserve"> </w:t>
      </w:r>
      <w:r>
        <w:rPr>
          <w:rFonts w:ascii="Times New Roman" w:hAnsi="Times New Roman" w:cs="Times New Roman"/>
          <w:sz w:val="24"/>
          <w:szCs w:val="24"/>
        </w:rPr>
        <w:t>gestores que tivessem amplo conhecimento do sistema de gestão da empresa</w:t>
      </w:r>
      <w:r w:rsidRPr="007D0059">
        <w:rPr>
          <w:rFonts w:ascii="Times New Roman" w:hAnsi="Times New Roman" w:cs="Times New Roman"/>
          <w:sz w:val="24"/>
          <w:szCs w:val="24"/>
        </w:rPr>
        <w:t>,</w:t>
      </w:r>
      <w:r>
        <w:rPr>
          <w:rFonts w:ascii="Times New Roman" w:hAnsi="Times New Roman" w:cs="Times New Roman"/>
          <w:sz w:val="24"/>
          <w:szCs w:val="24"/>
        </w:rPr>
        <w:t xml:space="preserve"> de preferência o</w:t>
      </w:r>
      <w:r w:rsidRPr="007D0059">
        <w:rPr>
          <w:rFonts w:ascii="Times New Roman" w:hAnsi="Times New Roman" w:cs="Times New Roman"/>
          <w:sz w:val="24"/>
          <w:szCs w:val="24"/>
        </w:rPr>
        <w:t xml:space="preserve"> responsável pelo setor de Sistema de Gestão Integrada, que atua</w:t>
      </w:r>
      <w:r>
        <w:rPr>
          <w:rFonts w:ascii="Times New Roman" w:hAnsi="Times New Roman" w:cs="Times New Roman"/>
          <w:sz w:val="24"/>
          <w:szCs w:val="24"/>
        </w:rPr>
        <w:t>ssem</w:t>
      </w:r>
      <w:r w:rsidRPr="007D0059">
        <w:rPr>
          <w:rFonts w:ascii="Times New Roman" w:hAnsi="Times New Roman" w:cs="Times New Roman"/>
          <w:sz w:val="24"/>
          <w:szCs w:val="24"/>
        </w:rPr>
        <w:t xml:space="preserve"> na empresa há </w:t>
      </w:r>
      <w:r>
        <w:rPr>
          <w:rFonts w:ascii="Times New Roman" w:hAnsi="Times New Roman" w:cs="Times New Roman"/>
          <w:sz w:val="24"/>
          <w:szCs w:val="24"/>
        </w:rPr>
        <w:t>pelo menos 5</w:t>
      </w:r>
      <w:r w:rsidRPr="007D0059">
        <w:rPr>
          <w:rFonts w:ascii="Times New Roman" w:hAnsi="Times New Roman" w:cs="Times New Roman"/>
          <w:sz w:val="24"/>
          <w:szCs w:val="24"/>
        </w:rPr>
        <w:t xml:space="preserve"> anos, </w:t>
      </w:r>
      <w:r>
        <w:rPr>
          <w:rFonts w:ascii="Times New Roman" w:hAnsi="Times New Roman" w:cs="Times New Roman"/>
          <w:sz w:val="24"/>
          <w:szCs w:val="24"/>
        </w:rPr>
        <w:t>de modo que já estivesse inserido e adaptado à cultura da empresa</w:t>
      </w:r>
      <w:r w:rsidRPr="007D0059">
        <w:rPr>
          <w:rFonts w:ascii="Times New Roman" w:hAnsi="Times New Roman" w:cs="Times New Roman"/>
          <w:sz w:val="24"/>
          <w:szCs w:val="24"/>
        </w:rPr>
        <w:t>.</w:t>
      </w:r>
    </w:p>
    <w:p w14:paraId="1558E3BF" w14:textId="4825A3CB" w:rsidR="007D0059" w:rsidRPr="007D0059" w:rsidRDefault="007D0059" w:rsidP="007D0059">
      <w:pPr>
        <w:rPr>
          <w:rFonts w:ascii="Times New Roman" w:hAnsi="Times New Roman" w:cs="Times New Roman"/>
          <w:sz w:val="24"/>
          <w:szCs w:val="24"/>
        </w:rPr>
      </w:pPr>
      <w:r>
        <w:rPr>
          <w:rFonts w:ascii="Times New Roman" w:hAnsi="Times New Roman" w:cs="Times New Roman"/>
          <w:sz w:val="24"/>
          <w:szCs w:val="24"/>
        </w:rPr>
        <w:t>Inicialmente</w:t>
      </w:r>
      <w:r w:rsidRPr="007D0059">
        <w:rPr>
          <w:rFonts w:ascii="Times New Roman" w:hAnsi="Times New Roman" w:cs="Times New Roman"/>
          <w:sz w:val="24"/>
          <w:szCs w:val="24"/>
        </w:rPr>
        <w:t xml:space="preserve">, foram realizadas algumas perguntas para verificar o conhecimento prévio do candidato e como a empresa enxerga a sustentabilidade, antes de apresentar os </w:t>
      </w:r>
      <w:r w:rsidRPr="007D0059">
        <w:rPr>
          <w:rFonts w:ascii="Times New Roman" w:hAnsi="Times New Roman" w:cs="Times New Roman"/>
          <w:sz w:val="24"/>
          <w:szCs w:val="24"/>
        </w:rPr>
        <w:lastRenderedPageBreak/>
        <w:t>indicadores selecionados. Verificou-se uma grande limitação sobre a abrangência dos aspectos sustentáveis, onde grande parte dos itens citados, estão relacionados, principalmente, ao aspecto ambiental.</w:t>
      </w:r>
    </w:p>
    <w:p w14:paraId="01AFFB69" w14:textId="43A36992" w:rsidR="007D0059" w:rsidRPr="007D0059" w:rsidRDefault="007D0059" w:rsidP="007D0059">
      <w:pPr>
        <w:rPr>
          <w:rFonts w:ascii="Times New Roman" w:hAnsi="Times New Roman" w:cs="Times New Roman"/>
          <w:sz w:val="24"/>
          <w:szCs w:val="24"/>
        </w:rPr>
      </w:pPr>
      <w:r w:rsidRPr="007D0059">
        <w:rPr>
          <w:rFonts w:ascii="Times New Roman" w:hAnsi="Times New Roman" w:cs="Times New Roman"/>
          <w:sz w:val="24"/>
          <w:szCs w:val="24"/>
        </w:rPr>
        <w:t>A</w:t>
      </w:r>
      <w:r>
        <w:rPr>
          <w:rFonts w:ascii="Times New Roman" w:hAnsi="Times New Roman" w:cs="Times New Roman"/>
          <w:sz w:val="24"/>
          <w:szCs w:val="24"/>
        </w:rPr>
        <w:t>s definições</w:t>
      </w:r>
      <w:r w:rsidRPr="007D0059">
        <w:rPr>
          <w:rFonts w:ascii="Times New Roman" w:hAnsi="Times New Roman" w:cs="Times New Roman"/>
          <w:sz w:val="24"/>
          <w:szCs w:val="24"/>
        </w:rPr>
        <w:t xml:space="preserve"> de s</w:t>
      </w:r>
      <w:r>
        <w:rPr>
          <w:rFonts w:ascii="Times New Roman" w:hAnsi="Times New Roman" w:cs="Times New Roman"/>
          <w:sz w:val="24"/>
          <w:szCs w:val="24"/>
        </w:rPr>
        <w:t>ustentabilidade apresentada pelos entrevistados, em sua maior parte,</w:t>
      </w:r>
      <w:r w:rsidRPr="007D0059">
        <w:rPr>
          <w:rFonts w:ascii="Times New Roman" w:hAnsi="Times New Roman" w:cs="Times New Roman"/>
          <w:sz w:val="24"/>
          <w:szCs w:val="24"/>
        </w:rPr>
        <w:t xml:space="preserve"> se assemelha</w:t>
      </w:r>
      <w:r>
        <w:rPr>
          <w:rFonts w:ascii="Times New Roman" w:hAnsi="Times New Roman" w:cs="Times New Roman"/>
          <w:sz w:val="24"/>
          <w:szCs w:val="24"/>
        </w:rPr>
        <w:t>ram</w:t>
      </w:r>
      <w:r w:rsidRPr="007D0059">
        <w:rPr>
          <w:rFonts w:ascii="Times New Roman" w:hAnsi="Times New Roman" w:cs="Times New Roman"/>
          <w:sz w:val="24"/>
          <w:szCs w:val="24"/>
        </w:rPr>
        <w:t xml:space="preserve"> bastante com aquela apresentada no Relatório de Brundtland, sobre utilização dos recursos hoje, pensando no amanhã. No entanto, </w:t>
      </w:r>
      <w:r>
        <w:rPr>
          <w:rFonts w:ascii="Times New Roman" w:hAnsi="Times New Roman" w:cs="Times New Roman"/>
          <w:sz w:val="24"/>
          <w:szCs w:val="24"/>
        </w:rPr>
        <w:t xml:space="preserve">os mesmos apresentaram dificuldade em inserir </w:t>
      </w:r>
      <w:r w:rsidRPr="007D0059">
        <w:rPr>
          <w:rFonts w:ascii="Times New Roman" w:hAnsi="Times New Roman" w:cs="Times New Roman"/>
          <w:sz w:val="24"/>
          <w:szCs w:val="24"/>
        </w:rPr>
        <w:t>o aspecto social se enca</w:t>
      </w:r>
      <w:r>
        <w:rPr>
          <w:rFonts w:ascii="Times New Roman" w:hAnsi="Times New Roman" w:cs="Times New Roman"/>
          <w:sz w:val="24"/>
          <w:szCs w:val="24"/>
        </w:rPr>
        <w:t>ixa nessa definição.</w:t>
      </w:r>
    </w:p>
    <w:p w14:paraId="2EC1EA38" w14:textId="0AF2A3DC" w:rsidR="007D0059" w:rsidRPr="007D0059" w:rsidRDefault="007D0059" w:rsidP="007D0059">
      <w:pPr>
        <w:rPr>
          <w:rFonts w:ascii="Times New Roman" w:hAnsi="Times New Roman" w:cs="Times New Roman"/>
          <w:sz w:val="24"/>
          <w:szCs w:val="24"/>
        </w:rPr>
      </w:pPr>
      <w:r w:rsidRPr="007D0059">
        <w:rPr>
          <w:rFonts w:ascii="Times New Roman" w:hAnsi="Times New Roman" w:cs="Times New Roman"/>
          <w:sz w:val="24"/>
          <w:szCs w:val="24"/>
        </w:rPr>
        <w:t xml:space="preserve">Antes de apresentar todos os tópicos abrangidos pela sustentabilidade social, </w:t>
      </w:r>
      <w:r>
        <w:rPr>
          <w:rFonts w:ascii="Times New Roman" w:hAnsi="Times New Roman" w:cs="Times New Roman"/>
          <w:sz w:val="24"/>
          <w:szCs w:val="24"/>
        </w:rPr>
        <w:t>os entrevistados variaram quanto a quais indicadores esperavam ser avaliados.</w:t>
      </w:r>
      <w:r w:rsidRPr="007D0059">
        <w:rPr>
          <w:rFonts w:ascii="Times New Roman" w:hAnsi="Times New Roman" w:cs="Times New Roman"/>
          <w:sz w:val="24"/>
          <w:szCs w:val="24"/>
        </w:rPr>
        <w:t xml:space="preserve"> </w:t>
      </w:r>
      <w:r>
        <w:rPr>
          <w:rFonts w:ascii="Times New Roman" w:hAnsi="Times New Roman" w:cs="Times New Roman"/>
          <w:sz w:val="24"/>
          <w:szCs w:val="24"/>
        </w:rPr>
        <w:t>A</w:t>
      </w:r>
      <w:r w:rsidR="00CE5298">
        <w:rPr>
          <w:rFonts w:ascii="Times New Roman" w:hAnsi="Times New Roman" w:cs="Times New Roman"/>
          <w:sz w:val="24"/>
          <w:szCs w:val="24"/>
        </w:rPr>
        <w:t>lguns ainda conseguiram ligar</w:t>
      </w:r>
      <w:r w:rsidRPr="007D0059">
        <w:rPr>
          <w:rFonts w:ascii="Times New Roman" w:hAnsi="Times New Roman" w:cs="Times New Roman"/>
          <w:sz w:val="24"/>
          <w:szCs w:val="24"/>
        </w:rPr>
        <w:t xml:space="preserve"> a consideração dos aspectos</w:t>
      </w:r>
      <w:r w:rsidR="00CE5298">
        <w:rPr>
          <w:rFonts w:ascii="Times New Roman" w:hAnsi="Times New Roman" w:cs="Times New Roman"/>
          <w:sz w:val="24"/>
          <w:szCs w:val="24"/>
        </w:rPr>
        <w:t xml:space="preserve"> sociais</w:t>
      </w:r>
      <w:r w:rsidRPr="007D0059">
        <w:rPr>
          <w:rFonts w:ascii="Times New Roman" w:hAnsi="Times New Roman" w:cs="Times New Roman"/>
          <w:sz w:val="24"/>
          <w:szCs w:val="24"/>
        </w:rPr>
        <w:t xml:space="preserve"> ao cumprimento das leis e respeito aos direitos dos trabalhadores, o que abrange apenas o tópico de emprego. </w:t>
      </w:r>
      <w:r w:rsidR="00CE5298">
        <w:rPr>
          <w:rFonts w:ascii="Times New Roman" w:hAnsi="Times New Roman" w:cs="Times New Roman"/>
          <w:sz w:val="24"/>
          <w:szCs w:val="24"/>
        </w:rPr>
        <w:t>Enquanto outros, não tinham ideia de quais seriam os indicadores.</w:t>
      </w:r>
    </w:p>
    <w:p w14:paraId="0A2574BF" w14:textId="1984E82B" w:rsidR="007D0059" w:rsidRPr="007D0059" w:rsidRDefault="007D0059" w:rsidP="007D0059">
      <w:pPr>
        <w:rPr>
          <w:rFonts w:ascii="Times New Roman" w:hAnsi="Times New Roman" w:cs="Times New Roman"/>
          <w:sz w:val="24"/>
          <w:szCs w:val="24"/>
        </w:rPr>
      </w:pPr>
      <w:r w:rsidRPr="007D0059">
        <w:rPr>
          <w:rFonts w:ascii="Times New Roman" w:hAnsi="Times New Roman" w:cs="Times New Roman"/>
          <w:sz w:val="24"/>
          <w:szCs w:val="24"/>
        </w:rPr>
        <w:t>Quando perguntado quais indicadores sociais eram de seu conhecimento, indicadores relacionados ao tópico emprego e treinamento e educação foram citados, mais uma vez abrangendo apenas os funcionários da empresa.</w:t>
      </w:r>
    </w:p>
    <w:p w14:paraId="59FC8A1E" w14:textId="77777777" w:rsidR="007D0059" w:rsidRPr="007D0059" w:rsidRDefault="007D0059" w:rsidP="007D0059">
      <w:pPr>
        <w:rPr>
          <w:rFonts w:ascii="Times New Roman" w:hAnsi="Times New Roman" w:cs="Times New Roman"/>
          <w:sz w:val="24"/>
          <w:szCs w:val="24"/>
        </w:rPr>
      </w:pPr>
      <w:r w:rsidRPr="007D0059">
        <w:rPr>
          <w:rFonts w:ascii="Times New Roman" w:hAnsi="Times New Roman" w:cs="Times New Roman"/>
          <w:sz w:val="24"/>
          <w:szCs w:val="24"/>
        </w:rPr>
        <w:t>No entanto, ao questionar quais ações sustentáveis a empresa já desenvolve atualmente, além de citar as ações sustentáveis no aspecto ambiental, como redução de resíduos por inovações nos processos e tecnologias racionalizadas (argamassa estabilizada, bloco cerâmico normatizado, central de trinchos), ações abrangendo às comunidades locais foram consideradas, como a disponibilização de uma parte do canteiro de obra para uso público.</w:t>
      </w:r>
    </w:p>
    <w:p w14:paraId="57B8E27C" w14:textId="0D6E2ED2" w:rsidR="00844761" w:rsidRDefault="007D0059" w:rsidP="00844761">
      <w:pPr>
        <w:rPr>
          <w:rFonts w:ascii="Times New Roman" w:hAnsi="Times New Roman" w:cs="Times New Roman"/>
          <w:sz w:val="24"/>
          <w:szCs w:val="24"/>
        </w:rPr>
      </w:pPr>
      <w:r w:rsidRPr="007D0059">
        <w:rPr>
          <w:rFonts w:ascii="Times New Roman" w:hAnsi="Times New Roman" w:cs="Times New Roman"/>
          <w:sz w:val="24"/>
          <w:szCs w:val="24"/>
        </w:rPr>
        <w:t>Posteriormente, foram apresentados os 42 indicadores selecionados</w:t>
      </w:r>
      <w:r w:rsidR="00CE5298">
        <w:rPr>
          <w:rFonts w:ascii="Times New Roman" w:hAnsi="Times New Roman" w:cs="Times New Roman"/>
          <w:sz w:val="24"/>
          <w:szCs w:val="24"/>
        </w:rPr>
        <w:t xml:space="preserve"> e coletados os dados de percepção de valor.</w:t>
      </w:r>
      <w:r w:rsidR="00844761">
        <w:rPr>
          <w:rFonts w:ascii="Times New Roman" w:hAnsi="Times New Roman" w:cs="Times New Roman"/>
          <w:sz w:val="24"/>
          <w:szCs w:val="24"/>
        </w:rPr>
        <w:t xml:space="preserve"> </w:t>
      </w:r>
      <w:r w:rsidRPr="007D0059">
        <w:rPr>
          <w:rFonts w:ascii="Times New Roman" w:hAnsi="Times New Roman" w:cs="Times New Roman"/>
          <w:sz w:val="24"/>
          <w:szCs w:val="24"/>
        </w:rPr>
        <w:t xml:space="preserve">Uma maneira de observar a priorização dos tópicos é através da </w:t>
      </w:r>
      <w:r w:rsidRPr="007D0059">
        <w:rPr>
          <w:rFonts w:ascii="Times New Roman" w:hAnsi="Times New Roman" w:cs="Times New Roman"/>
          <w:sz w:val="24"/>
          <w:szCs w:val="24"/>
        </w:rPr>
        <w:fldChar w:fldCharType="begin"/>
      </w:r>
      <w:r w:rsidRPr="007D0059">
        <w:rPr>
          <w:rFonts w:ascii="Times New Roman" w:hAnsi="Times New Roman" w:cs="Times New Roman"/>
          <w:sz w:val="24"/>
          <w:szCs w:val="24"/>
        </w:rPr>
        <w:instrText xml:space="preserve"> REF _Ref14189346 \h  \* MERGEFORMAT </w:instrText>
      </w:r>
      <w:r w:rsidRPr="007D0059">
        <w:rPr>
          <w:rFonts w:ascii="Times New Roman" w:hAnsi="Times New Roman" w:cs="Times New Roman"/>
          <w:sz w:val="24"/>
          <w:szCs w:val="24"/>
        </w:rPr>
      </w:r>
      <w:r w:rsidRPr="007D0059">
        <w:rPr>
          <w:rFonts w:ascii="Times New Roman" w:hAnsi="Times New Roman" w:cs="Times New Roman"/>
          <w:sz w:val="24"/>
          <w:szCs w:val="24"/>
        </w:rPr>
        <w:fldChar w:fldCharType="separate"/>
      </w:r>
      <w:r w:rsidRPr="007D0059">
        <w:rPr>
          <w:rFonts w:ascii="Times New Roman" w:hAnsi="Times New Roman" w:cs="Times New Roman"/>
          <w:sz w:val="24"/>
          <w:szCs w:val="24"/>
        </w:rPr>
        <w:t xml:space="preserve">Figura </w:t>
      </w:r>
      <w:r w:rsidRPr="007D0059">
        <w:rPr>
          <w:rFonts w:ascii="Times New Roman" w:hAnsi="Times New Roman" w:cs="Times New Roman"/>
          <w:noProof/>
          <w:sz w:val="24"/>
          <w:szCs w:val="24"/>
        </w:rPr>
        <w:t>4</w:t>
      </w:r>
      <w:r w:rsidRPr="007D0059">
        <w:rPr>
          <w:rFonts w:ascii="Times New Roman" w:hAnsi="Times New Roman" w:cs="Times New Roman"/>
          <w:sz w:val="24"/>
          <w:szCs w:val="24"/>
        </w:rPr>
        <w:t>.</w:t>
      </w:r>
      <w:r w:rsidRPr="007D0059">
        <w:rPr>
          <w:rFonts w:ascii="Times New Roman" w:hAnsi="Times New Roman" w:cs="Times New Roman"/>
          <w:noProof/>
          <w:sz w:val="24"/>
          <w:szCs w:val="24"/>
        </w:rPr>
        <w:t>2</w:t>
      </w:r>
      <w:r w:rsidRPr="007D0059">
        <w:rPr>
          <w:rFonts w:ascii="Times New Roman" w:hAnsi="Times New Roman" w:cs="Times New Roman"/>
          <w:sz w:val="24"/>
          <w:szCs w:val="24"/>
        </w:rPr>
        <w:fldChar w:fldCharType="end"/>
      </w:r>
      <w:r w:rsidRPr="007D0059">
        <w:rPr>
          <w:rFonts w:ascii="Times New Roman" w:hAnsi="Times New Roman" w:cs="Times New Roman"/>
          <w:sz w:val="24"/>
          <w:szCs w:val="24"/>
        </w:rPr>
        <w:t xml:space="preserve">, onde observa-se uma linha com nível importância e outra com grau de influência nas decisões de cada um dos indicadores. De maneira geral, observa-se que a linha da influência, quando não está coincidente, está sempre abaixo da linha que representa o nível de importância. Dessa maneira, pode-se observar que apesar da conscientização da importância dos indicadores de sustentabilidade social, eles ainda não são levados em consideração, de acordo com a devida importância.  </w:t>
      </w:r>
      <w:bookmarkStart w:id="4" w:name="_Ref14189346"/>
      <w:bookmarkStart w:id="5" w:name="_Toc15932039"/>
    </w:p>
    <w:p w14:paraId="71BFB2EC" w14:textId="73558E8F" w:rsidR="00792348" w:rsidRDefault="00792348" w:rsidP="00844761">
      <w:pPr>
        <w:rPr>
          <w:rFonts w:ascii="Times New Roman" w:hAnsi="Times New Roman" w:cs="Times New Roman"/>
          <w:sz w:val="24"/>
          <w:szCs w:val="24"/>
        </w:rPr>
      </w:pPr>
    </w:p>
    <w:p w14:paraId="4C63A09C" w14:textId="25154EE6" w:rsidR="00792348" w:rsidRDefault="00792348" w:rsidP="00844761">
      <w:pPr>
        <w:rPr>
          <w:rFonts w:ascii="Times New Roman" w:hAnsi="Times New Roman" w:cs="Times New Roman"/>
          <w:sz w:val="24"/>
          <w:szCs w:val="24"/>
        </w:rPr>
      </w:pPr>
    </w:p>
    <w:p w14:paraId="7E7D11EE" w14:textId="266C01F3" w:rsidR="007D0059" w:rsidRDefault="007D0059" w:rsidP="00844761">
      <w:pPr>
        <w:rPr>
          <w:rFonts w:ascii="Times New Roman" w:hAnsi="Times New Roman" w:cs="Times New Roman"/>
          <w:szCs w:val="24"/>
        </w:rPr>
      </w:pPr>
      <w:r w:rsidRPr="00844761">
        <w:rPr>
          <w:rFonts w:ascii="Times New Roman" w:hAnsi="Times New Roman" w:cs="Times New Roman"/>
          <w:szCs w:val="24"/>
        </w:rPr>
        <w:lastRenderedPageBreak/>
        <w:t xml:space="preserve">Figura </w:t>
      </w:r>
      <w:r w:rsidRPr="00844761">
        <w:rPr>
          <w:rFonts w:ascii="Times New Roman" w:hAnsi="Times New Roman" w:cs="Times New Roman"/>
          <w:szCs w:val="24"/>
        </w:rPr>
        <w:fldChar w:fldCharType="begin"/>
      </w:r>
      <w:r w:rsidRPr="00844761">
        <w:rPr>
          <w:rFonts w:ascii="Times New Roman" w:hAnsi="Times New Roman" w:cs="Times New Roman"/>
          <w:szCs w:val="24"/>
        </w:rPr>
        <w:instrText xml:space="preserve"> STYLEREF 1 \s </w:instrText>
      </w:r>
      <w:r w:rsidRPr="00844761">
        <w:rPr>
          <w:rFonts w:ascii="Times New Roman" w:hAnsi="Times New Roman" w:cs="Times New Roman"/>
          <w:szCs w:val="24"/>
        </w:rPr>
        <w:fldChar w:fldCharType="separate"/>
      </w:r>
      <w:r w:rsidRPr="00844761">
        <w:rPr>
          <w:rFonts w:ascii="Times New Roman" w:hAnsi="Times New Roman" w:cs="Times New Roman"/>
          <w:noProof/>
          <w:szCs w:val="24"/>
        </w:rPr>
        <w:t>4</w:t>
      </w:r>
      <w:r w:rsidRPr="00844761">
        <w:rPr>
          <w:rFonts w:ascii="Times New Roman" w:hAnsi="Times New Roman" w:cs="Times New Roman"/>
          <w:szCs w:val="24"/>
        </w:rPr>
        <w:fldChar w:fldCharType="end"/>
      </w:r>
      <w:r w:rsidRPr="00844761">
        <w:rPr>
          <w:rFonts w:ascii="Times New Roman" w:hAnsi="Times New Roman" w:cs="Times New Roman"/>
          <w:szCs w:val="24"/>
        </w:rPr>
        <w:t>.</w:t>
      </w:r>
      <w:r w:rsidRPr="00844761">
        <w:rPr>
          <w:rFonts w:ascii="Times New Roman" w:hAnsi="Times New Roman" w:cs="Times New Roman"/>
          <w:szCs w:val="24"/>
        </w:rPr>
        <w:fldChar w:fldCharType="begin"/>
      </w:r>
      <w:r w:rsidRPr="00844761">
        <w:rPr>
          <w:rFonts w:ascii="Times New Roman" w:hAnsi="Times New Roman" w:cs="Times New Roman"/>
          <w:szCs w:val="24"/>
        </w:rPr>
        <w:instrText xml:space="preserve"> SEQ Figura \* ARABIC \s 1 </w:instrText>
      </w:r>
      <w:r w:rsidRPr="00844761">
        <w:rPr>
          <w:rFonts w:ascii="Times New Roman" w:hAnsi="Times New Roman" w:cs="Times New Roman"/>
          <w:szCs w:val="24"/>
        </w:rPr>
        <w:fldChar w:fldCharType="separate"/>
      </w:r>
      <w:r w:rsidRPr="00844761">
        <w:rPr>
          <w:rFonts w:ascii="Times New Roman" w:hAnsi="Times New Roman" w:cs="Times New Roman"/>
          <w:noProof/>
          <w:szCs w:val="24"/>
        </w:rPr>
        <w:t>2</w:t>
      </w:r>
      <w:r w:rsidRPr="00844761">
        <w:rPr>
          <w:rFonts w:ascii="Times New Roman" w:hAnsi="Times New Roman" w:cs="Times New Roman"/>
          <w:szCs w:val="24"/>
        </w:rPr>
        <w:fldChar w:fldCharType="end"/>
      </w:r>
      <w:bookmarkEnd w:id="4"/>
      <w:r w:rsidRPr="00844761">
        <w:rPr>
          <w:rFonts w:ascii="Times New Roman" w:hAnsi="Times New Roman" w:cs="Times New Roman"/>
          <w:szCs w:val="24"/>
        </w:rPr>
        <w:t xml:space="preserve"> – Importância X Influência dos indicadores</w:t>
      </w:r>
      <w:bookmarkEnd w:id="5"/>
    </w:p>
    <w:p w14:paraId="18938133" w14:textId="35DBA16D" w:rsidR="005C255C" w:rsidRPr="00844761" w:rsidRDefault="005C255C" w:rsidP="00844761">
      <w:pPr>
        <w:rPr>
          <w:rFonts w:ascii="Times New Roman" w:hAnsi="Times New Roman" w:cs="Times New Roman"/>
          <w:szCs w:val="24"/>
        </w:rPr>
      </w:pPr>
      <w:r>
        <w:rPr>
          <w:rFonts w:ascii="Times New Roman" w:hAnsi="Times New Roman" w:cs="Times New Roman"/>
          <w:noProof/>
          <w:szCs w:val="24"/>
          <w:lang w:eastAsia="pt-BR"/>
        </w:rPr>
        <w:drawing>
          <wp:inline distT="0" distB="0" distL="0" distR="0" wp14:anchorId="52398B54" wp14:editId="093FE58A">
            <wp:extent cx="4924425" cy="4452544"/>
            <wp:effectExtent l="0" t="0" r="0" b="571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6177" cy="4454128"/>
                    </a:xfrm>
                    <a:prstGeom prst="rect">
                      <a:avLst/>
                    </a:prstGeom>
                    <a:noFill/>
                  </pic:spPr>
                </pic:pic>
              </a:graphicData>
            </a:graphic>
          </wp:inline>
        </w:drawing>
      </w:r>
    </w:p>
    <w:p w14:paraId="06AA8AB8" w14:textId="77777777" w:rsidR="007D0059" w:rsidRPr="007D0059" w:rsidRDefault="007D0059" w:rsidP="007D0059">
      <w:pPr>
        <w:pStyle w:val="Figura"/>
        <w:rPr>
          <w:sz w:val="24"/>
        </w:rPr>
      </w:pPr>
      <w:r w:rsidRPr="007D0059">
        <w:rPr>
          <w:sz w:val="24"/>
        </w:rPr>
        <w:t>Fonte: Autor.</w:t>
      </w:r>
    </w:p>
    <w:p w14:paraId="579871D6" w14:textId="77777777" w:rsidR="007D0059" w:rsidRPr="007D0059" w:rsidRDefault="007D0059" w:rsidP="007D0059">
      <w:pPr>
        <w:rPr>
          <w:rFonts w:ascii="Times New Roman" w:hAnsi="Times New Roman" w:cs="Times New Roman"/>
          <w:sz w:val="24"/>
          <w:szCs w:val="24"/>
        </w:rPr>
      </w:pPr>
    </w:p>
    <w:p w14:paraId="0E53F30A" w14:textId="0EFC700E" w:rsidR="007D0059" w:rsidRPr="007D0059" w:rsidRDefault="007D0059" w:rsidP="007D0059">
      <w:pPr>
        <w:rPr>
          <w:rFonts w:ascii="Times New Roman" w:hAnsi="Times New Roman" w:cs="Times New Roman"/>
          <w:sz w:val="24"/>
          <w:szCs w:val="24"/>
        </w:rPr>
      </w:pPr>
      <w:r w:rsidRPr="007D0059">
        <w:rPr>
          <w:rFonts w:ascii="Times New Roman" w:hAnsi="Times New Roman" w:cs="Times New Roman"/>
          <w:sz w:val="24"/>
          <w:szCs w:val="24"/>
        </w:rPr>
        <w:t xml:space="preserve">Observa-se, ainda, de acordo com a </w:t>
      </w:r>
      <w:r w:rsidRPr="007D0059">
        <w:rPr>
          <w:rFonts w:ascii="Times New Roman" w:hAnsi="Times New Roman" w:cs="Times New Roman"/>
          <w:sz w:val="24"/>
          <w:szCs w:val="24"/>
        </w:rPr>
        <w:fldChar w:fldCharType="begin"/>
      </w:r>
      <w:r w:rsidRPr="007D0059">
        <w:rPr>
          <w:rFonts w:ascii="Times New Roman" w:hAnsi="Times New Roman" w:cs="Times New Roman"/>
          <w:sz w:val="24"/>
          <w:szCs w:val="24"/>
        </w:rPr>
        <w:instrText xml:space="preserve"> REF _Ref14189346 \h  \* MERGEFORMAT </w:instrText>
      </w:r>
      <w:r w:rsidRPr="007D0059">
        <w:rPr>
          <w:rFonts w:ascii="Times New Roman" w:hAnsi="Times New Roman" w:cs="Times New Roman"/>
          <w:sz w:val="24"/>
          <w:szCs w:val="24"/>
        </w:rPr>
      </w:r>
      <w:r w:rsidRPr="007D0059">
        <w:rPr>
          <w:rFonts w:ascii="Times New Roman" w:hAnsi="Times New Roman" w:cs="Times New Roman"/>
          <w:sz w:val="24"/>
          <w:szCs w:val="24"/>
        </w:rPr>
        <w:fldChar w:fldCharType="separate"/>
      </w:r>
      <w:r w:rsidRPr="007D0059">
        <w:rPr>
          <w:rFonts w:ascii="Times New Roman" w:hAnsi="Times New Roman" w:cs="Times New Roman"/>
          <w:sz w:val="24"/>
          <w:szCs w:val="24"/>
        </w:rPr>
        <w:t xml:space="preserve">Figura </w:t>
      </w:r>
      <w:r w:rsidRPr="007D0059">
        <w:rPr>
          <w:rFonts w:ascii="Times New Roman" w:hAnsi="Times New Roman" w:cs="Times New Roman"/>
          <w:noProof/>
          <w:sz w:val="24"/>
          <w:szCs w:val="24"/>
        </w:rPr>
        <w:t>4</w:t>
      </w:r>
      <w:r w:rsidRPr="007D0059">
        <w:rPr>
          <w:rFonts w:ascii="Times New Roman" w:hAnsi="Times New Roman" w:cs="Times New Roman"/>
          <w:sz w:val="24"/>
          <w:szCs w:val="24"/>
        </w:rPr>
        <w:t>.</w:t>
      </w:r>
      <w:r w:rsidRPr="007D0059">
        <w:rPr>
          <w:rFonts w:ascii="Times New Roman" w:hAnsi="Times New Roman" w:cs="Times New Roman"/>
          <w:noProof/>
          <w:sz w:val="24"/>
          <w:szCs w:val="24"/>
        </w:rPr>
        <w:t>2</w:t>
      </w:r>
      <w:r w:rsidRPr="007D0059">
        <w:rPr>
          <w:rFonts w:ascii="Times New Roman" w:hAnsi="Times New Roman" w:cs="Times New Roman"/>
          <w:sz w:val="24"/>
          <w:szCs w:val="24"/>
        </w:rPr>
        <w:fldChar w:fldCharType="end"/>
      </w:r>
      <w:r w:rsidRPr="007D0059">
        <w:rPr>
          <w:rFonts w:ascii="Times New Roman" w:hAnsi="Times New Roman" w:cs="Times New Roman"/>
          <w:sz w:val="24"/>
          <w:szCs w:val="24"/>
        </w:rPr>
        <w:t>, que os únicos indicadores que foram considerados com máxima influência nas tomada de decisões estão inseridos nos tópicos de segurança e saúde ocupacional (403), seg</w:t>
      </w:r>
      <w:r w:rsidR="00844761">
        <w:rPr>
          <w:rFonts w:ascii="Times New Roman" w:hAnsi="Times New Roman" w:cs="Times New Roman"/>
          <w:sz w:val="24"/>
          <w:szCs w:val="24"/>
        </w:rPr>
        <w:t>urança e saúde do cliente (416)</w:t>
      </w:r>
      <w:r w:rsidRPr="007D0059">
        <w:rPr>
          <w:rFonts w:ascii="Times New Roman" w:hAnsi="Times New Roman" w:cs="Times New Roman"/>
          <w:sz w:val="24"/>
          <w:szCs w:val="24"/>
        </w:rPr>
        <w:t xml:space="preserve"> e conformidade socioeconômica (419).</w:t>
      </w:r>
    </w:p>
    <w:p w14:paraId="14191EF5" w14:textId="5EB4FCBC" w:rsidR="007D0059" w:rsidRDefault="007D0059" w:rsidP="007D0059">
      <w:pPr>
        <w:rPr>
          <w:rFonts w:ascii="Times New Roman" w:hAnsi="Times New Roman" w:cs="Times New Roman"/>
          <w:sz w:val="24"/>
          <w:szCs w:val="24"/>
        </w:rPr>
      </w:pPr>
      <w:r w:rsidRPr="00844761">
        <w:rPr>
          <w:rFonts w:ascii="Times New Roman" w:hAnsi="Times New Roman" w:cs="Times New Roman"/>
          <w:sz w:val="24"/>
          <w:szCs w:val="24"/>
        </w:rPr>
        <w:t>A influência desses tópicos nas tomadas de decisões está relacionada com a certificação de segurança e saúde ocupacional (OHSAS 18001), na qual a</w:t>
      </w:r>
      <w:r w:rsidR="00044436">
        <w:rPr>
          <w:rFonts w:ascii="Times New Roman" w:hAnsi="Times New Roman" w:cs="Times New Roman"/>
          <w:sz w:val="24"/>
          <w:szCs w:val="24"/>
        </w:rPr>
        <w:t>s</w:t>
      </w:r>
      <w:r w:rsidRPr="00844761">
        <w:rPr>
          <w:rFonts w:ascii="Times New Roman" w:hAnsi="Times New Roman" w:cs="Times New Roman"/>
          <w:sz w:val="24"/>
          <w:szCs w:val="24"/>
        </w:rPr>
        <w:t xml:space="preserve"> empresa</w:t>
      </w:r>
      <w:r w:rsidR="00044436">
        <w:rPr>
          <w:rFonts w:ascii="Times New Roman" w:hAnsi="Times New Roman" w:cs="Times New Roman"/>
          <w:sz w:val="24"/>
          <w:szCs w:val="24"/>
        </w:rPr>
        <w:t>s</w:t>
      </w:r>
      <w:r w:rsidRPr="00844761">
        <w:rPr>
          <w:rFonts w:ascii="Times New Roman" w:hAnsi="Times New Roman" w:cs="Times New Roman"/>
          <w:sz w:val="24"/>
          <w:szCs w:val="24"/>
        </w:rPr>
        <w:t xml:space="preserve"> </w:t>
      </w:r>
      <w:r w:rsidR="00044436">
        <w:rPr>
          <w:rFonts w:ascii="Times New Roman" w:hAnsi="Times New Roman" w:cs="Times New Roman"/>
          <w:sz w:val="24"/>
          <w:szCs w:val="24"/>
        </w:rPr>
        <w:t>são</w:t>
      </w:r>
      <w:r w:rsidRPr="00844761">
        <w:rPr>
          <w:rFonts w:ascii="Times New Roman" w:hAnsi="Times New Roman" w:cs="Times New Roman"/>
          <w:sz w:val="24"/>
          <w:szCs w:val="24"/>
        </w:rPr>
        <w:t xml:space="preserve"> certificada</w:t>
      </w:r>
      <w:r w:rsidR="00044436">
        <w:rPr>
          <w:rFonts w:ascii="Times New Roman" w:hAnsi="Times New Roman" w:cs="Times New Roman"/>
          <w:sz w:val="24"/>
          <w:szCs w:val="24"/>
        </w:rPr>
        <w:t>s</w:t>
      </w:r>
      <w:r w:rsidRPr="00844761">
        <w:rPr>
          <w:rFonts w:ascii="Times New Roman" w:hAnsi="Times New Roman" w:cs="Times New Roman"/>
          <w:sz w:val="24"/>
          <w:szCs w:val="24"/>
        </w:rPr>
        <w:t>, e com a preocupação com o cliente final, responsável pelas vendas e receita da empresa, além das penalidades financeiras levadas em consideração no tópico de conformidade socioeconômica.</w:t>
      </w:r>
    </w:p>
    <w:p w14:paraId="1E78E5A9" w14:textId="77777777" w:rsidR="005C255C" w:rsidRDefault="005C255C" w:rsidP="007D0059">
      <w:pPr>
        <w:rPr>
          <w:rFonts w:ascii="Times New Roman" w:hAnsi="Times New Roman" w:cs="Times New Roman"/>
          <w:sz w:val="24"/>
          <w:szCs w:val="24"/>
        </w:rPr>
      </w:pPr>
      <w:r>
        <w:rPr>
          <w:rFonts w:ascii="Times New Roman" w:hAnsi="Times New Roman" w:cs="Times New Roman"/>
          <w:sz w:val="24"/>
          <w:szCs w:val="24"/>
        </w:rPr>
        <w:t xml:space="preserve">No entanto, quando analisados quais dos 42 indicadores já são coletados pelas empresas de maneira igual ao proposto pelo GRI, 10 foram unanimidades nas empresas entrevistas, </w:t>
      </w:r>
      <w:r>
        <w:rPr>
          <w:rFonts w:ascii="Times New Roman" w:hAnsi="Times New Roman" w:cs="Times New Roman"/>
          <w:sz w:val="24"/>
          <w:szCs w:val="24"/>
        </w:rPr>
        <w:lastRenderedPageBreak/>
        <w:t xml:space="preserve">que se enquadram nos tópicos de segurança e saúde ocupacional (403) e comunidades locais (413) – Tabela 2. </w:t>
      </w:r>
    </w:p>
    <w:p w14:paraId="605098CE" w14:textId="329A3CC5" w:rsidR="005C255C" w:rsidRDefault="005C255C" w:rsidP="007D0059">
      <w:pPr>
        <w:rPr>
          <w:rFonts w:ascii="Times New Roman" w:hAnsi="Times New Roman" w:cs="Times New Roman"/>
          <w:sz w:val="24"/>
          <w:szCs w:val="24"/>
        </w:rPr>
      </w:pPr>
      <w:r>
        <w:rPr>
          <w:rFonts w:ascii="Times New Roman" w:hAnsi="Times New Roman" w:cs="Times New Roman"/>
          <w:sz w:val="24"/>
          <w:szCs w:val="24"/>
        </w:rPr>
        <w:t>Sendo assim, apesar de considerarem tão influentes quanto importantes, os indicadores a</w:t>
      </w:r>
      <w:r w:rsidRPr="005C255C">
        <w:rPr>
          <w:rFonts w:ascii="Times New Roman" w:hAnsi="Times New Roman" w:cs="Times New Roman"/>
          <w:sz w:val="24"/>
          <w:szCs w:val="24"/>
        </w:rPr>
        <w:t>valiação dos impactos na saúde e segurança de categorias de produtos e serviços</w:t>
      </w:r>
      <w:r>
        <w:rPr>
          <w:rFonts w:ascii="Times New Roman" w:hAnsi="Times New Roman" w:cs="Times New Roman"/>
          <w:sz w:val="24"/>
          <w:szCs w:val="24"/>
        </w:rPr>
        <w:t xml:space="preserve"> (416-1), i</w:t>
      </w:r>
      <w:r w:rsidRPr="005C255C">
        <w:rPr>
          <w:rFonts w:ascii="Times New Roman" w:hAnsi="Times New Roman" w:cs="Times New Roman"/>
          <w:sz w:val="24"/>
          <w:szCs w:val="24"/>
        </w:rPr>
        <w:t xml:space="preserve">ncidentes de não conformidade relativos a impactos na saúde e segurança de produtos e serviços </w:t>
      </w:r>
      <w:r>
        <w:rPr>
          <w:rFonts w:ascii="Times New Roman" w:hAnsi="Times New Roman" w:cs="Times New Roman"/>
          <w:sz w:val="24"/>
          <w:szCs w:val="24"/>
        </w:rPr>
        <w:t>(416-2) e n</w:t>
      </w:r>
      <w:r w:rsidRPr="005C255C">
        <w:rPr>
          <w:rFonts w:ascii="Times New Roman" w:hAnsi="Times New Roman" w:cs="Times New Roman"/>
          <w:sz w:val="24"/>
          <w:szCs w:val="24"/>
        </w:rPr>
        <w:t>ão cumprimento de leis e regulamentos na área social e econômica</w:t>
      </w:r>
      <w:r>
        <w:rPr>
          <w:rFonts w:ascii="Times New Roman" w:hAnsi="Times New Roman" w:cs="Times New Roman"/>
          <w:sz w:val="24"/>
          <w:szCs w:val="24"/>
        </w:rPr>
        <w:t xml:space="preserve"> (419-1), ainda não são controlados pelas empresas.</w:t>
      </w:r>
    </w:p>
    <w:p w14:paraId="621A0EA2" w14:textId="77777777" w:rsidR="00E3547E" w:rsidRDefault="00E3547E" w:rsidP="007D0059">
      <w:pPr>
        <w:rPr>
          <w:rFonts w:ascii="Times New Roman" w:hAnsi="Times New Roman" w:cs="Times New Roman"/>
          <w:sz w:val="24"/>
          <w:szCs w:val="24"/>
        </w:rPr>
      </w:pPr>
    </w:p>
    <w:p w14:paraId="0BCE31B7" w14:textId="1F1ED636" w:rsidR="00E3547E" w:rsidRPr="00E3547E" w:rsidRDefault="00E3547E" w:rsidP="007D0059">
      <w:pPr>
        <w:rPr>
          <w:rFonts w:ascii="Times New Roman" w:hAnsi="Times New Roman" w:cs="Times New Roman"/>
          <w:szCs w:val="24"/>
        </w:rPr>
      </w:pPr>
      <w:r w:rsidRPr="00E3547E">
        <w:rPr>
          <w:rFonts w:ascii="Times New Roman" w:hAnsi="Times New Roman" w:cs="Times New Roman"/>
          <w:szCs w:val="24"/>
        </w:rPr>
        <w:t>Tabela 2 – Indicadores já coletados pelas empresas entrevistadas.</w:t>
      </w:r>
    </w:p>
    <w:tbl>
      <w:tblPr>
        <w:tblW w:w="8642" w:type="dxa"/>
        <w:tblLayout w:type="fixed"/>
        <w:tblCellMar>
          <w:left w:w="70" w:type="dxa"/>
          <w:right w:w="70" w:type="dxa"/>
        </w:tblCellMar>
        <w:tblLook w:val="04A0" w:firstRow="1" w:lastRow="0" w:firstColumn="1" w:lastColumn="0" w:noHBand="0" w:noVBand="1"/>
      </w:tblPr>
      <w:tblGrid>
        <w:gridCol w:w="1350"/>
        <w:gridCol w:w="1055"/>
        <w:gridCol w:w="3260"/>
        <w:gridCol w:w="1560"/>
        <w:gridCol w:w="1417"/>
      </w:tblGrid>
      <w:tr w:rsidR="00FB076A" w:rsidRPr="005C255C" w14:paraId="4D981774" w14:textId="77777777" w:rsidTr="00FB076A">
        <w:trPr>
          <w:trHeight w:val="69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A4C24" w14:textId="77777777" w:rsidR="005C255C" w:rsidRPr="005C255C" w:rsidRDefault="005C255C" w:rsidP="005C255C">
            <w:pPr>
              <w:spacing w:after="0" w:line="240" w:lineRule="auto"/>
              <w:jc w:val="center"/>
              <w:rPr>
                <w:rFonts w:ascii="Times New Roman" w:eastAsia="Times New Roman" w:hAnsi="Times New Roman" w:cs="Times New Roman"/>
                <w:bCs/>
                <w:color w:val="000000"/>
                <w:sz w:val="20"/>
                <w:lang w:eastAsia="pt-BR"/>
              </w:rPr>
            </w:pPr>
            <w:r w:rsidRPr="005C255C">
              <w:rPr>
                <w:rFonts w:ascii="Times New Roman" w:eastAsia="Times New Roman" w:hAnsi="Times New Roman" w:cs="Times New Roman"/>
                <w:bCs/>
                <w:color w:val="000000"/>
                <w:sz w:val="20"/>
                <w:lang w:eastAsia="pt-BR"/>
              </w:rPr>
              <w:t>TÓPICO</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7D12E" w14:textId="77777777" w:rsidR="005C255C" w:rsidRPr="005C255C" w:rsidRDefault="005C255C" w:rsidP="005C255C">
            <w:pPr>
              <w:spacing w:after="0" w:line="240" w:lineRule="auto"/>
              <w:jc w:val="center"/>
              <w:rPr>
                <w:rFonts w:ascii="Times New Roman" w:eastAsia="Times New Roman" w:hAnsi="Times New Roman" w:cs="Times New Roman"/>
                <w:bCs/>
                <w:color w:val="000000"/>
                <w:sz w:val="20"/>
                <w:lang w:eastAsia="pt-BR"/>
              </w:rPr>
            </w:pPr>
            <w:r w:rsidRPr="005C255C">
              <w:rPr>
                <w:rFonts w:ascii="Times New Roman" w:eastAsia="Times New Roman" w:hAnsi="Times New Roman" w:cs="Times New Roman"/>
                <w:bCs/>
                <w:color w:val="000000"/>
                <w:sz w:val="20"/>
                <w:lang w:eastAsia="pt-BR"/>
              </w:rPr>
              <w:t>CÓDIGO</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A408BDA" w14:textId="77777777" w:rsidR="005C255C" w:rsidRPr="005C255C" w:rsidRDefault="005C255C" w:rsidP="005C255C">
            <w:pPr>
              <w:spacing w:after="0" w:line="240" w:lineRule="auto"/>
              <w:jc w:val="center"/>
              <w:rPr>
                <w:rFonts w:ascii="Times New Roman" w:eastAsia="Times New Roman" w:hAnsi="Times New Roman" w:cs="Times New Roman"/>
                <w:bCs/>
                <w:color w:val="000000"/>
                <w:sz w:val="20"/>
                <w:lang w:eastAsia="pt-BR"/>
              </w:rPr>
            </w:pPr>
            <w:r w:rsidRPr="005C255C">
              <w:rPr>
                <w:rFonts w:ascii="Times New Roman" w:eastAsia="Times New Roman" w:hAnsi="Times New Roman" w:cs="Times New Roman"/>
                <w:bCs/>
                <w:color w:val="000000"/>
                <w:sz w:val="20"/>
                <w:lang w:eastAsia="pt-BR"/>
              </w:rPr>
              <w:t>INDICADORES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942289A" w14:textId="77777777" w:rsidR="005C255C" w:rsidRPr="005C255C" w:rsidRDefault="005C255C" w:rsidP="005C255C">
            <w:pPr>
              <w:spacing w:after="0" w:line="240" w:lineRule="auto"/>
              <w:jc w:val="center"/>
              <w:rPr>
                <w:rFonts w:ascii="Times New Roman" w:eastAsia="Times New Roman" w:hAnsi="Times New Roman" w:cs="Times New Roman"/>
                <w:bCs/>
                <w:color w:val="000000"/>
                <w:sz w:val="20"/>
                <w:lang w:eastAsia="pt-BR"/>
              </w:rPr>
            </w:pPr>
            <w:r w:rsidRPr="005C255C">
              <w:rPr>
                <w:rFonts w:ascii="Times New Roman" w:eastAsia="Times New Roman" w:hAnsi="Times New Roman" w:cs="Times New Roman"/>
                <w:bCs/>
                <w:color w:val="000000"/>
                <w:sz w:val="20"/>
                <w:lang w:eastAsia="pt-BR"/>
              </w:rPr>
              <w:t>MÉDIA</w:t>
            </w:r>
            <w:r w:rsidRPr="005C255C">
              <w:rPr>
                <w:rFonts w:ascii="Times New Roman" w:eastAsia="Times New Roman" w:hAnsi="Times New Roman" w:cs="Times New Roman"/>
                <w:bCs/>
                <w:color w:val="000000"/>
                <w:sz w:val="20"/>
                <w:lang w:eastAsia="pt-BR"/>
              </w:rPr>
              <w:br/>
              <w:t>IMPORTÂNCIA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1C5FE8" w14:textId="77777777" w:rsidR="005C255C" w:rsidRPr="005C255C" w:rsidRDefault="005C255C" w:rsidP="005C255C">
            <w:pPr>
              <w:spacing w:after="0" w:line="240" w:lineRule="auto"/>
              <w:jc w:val="center"/>
              <w:rPr>
                <w:rFonts w:ascii="Times New Roman" w:eastAsia="Times New Roman" w:hAnsi="Times New Roman" w:cs="Times New Roman"/>
                <w:bCs/>
                <w:color w:val="000000"/>
                <w:sz w:val="20"/>
                <w:lang w:eastAsia="pt-BR"/>
              </w:rPr>
            </w:pPr>
            <w:r w:rsidRPr="005C255C">
              <w:rPr>
                <w:rFonts w:ascii="Times New Roman" w:eastAsia="Times New Roman" w:hAnsi="Times New Roman" w:cs="Times New Roman"/>
                <w:bCs/>
                <w:color w:val="000000"/>
                <w:sz w:val="20"/>
                <w:lang w:eastAsia="pt-BR"/>
              </w:rPr>
              <w:t>MÉDIA</w:t>
            </w:r>
            <w:r w:rsidRPr="005C255C">
              <w:rPr>
                <w:rFonts w:ascii="Times New Roman" w:eastAsia="Times New Roman" w:hAnsi="Times New Roman" w:cs="Times New Roman"/>
                <w:bCs/>
                <w:color w:val="000000"/>
                <w:sz w:val="20"/>
                <w:lang w:eastAsia="pt-BR"/>
              </w:rPr>
              <w:br/>
              <w:t>INFLUÊNCIA</w:t>
            </w:r>
          </w:p>
        </w:tc>
      </w:tr>
      <w:tr w:rsidR="005C255C" w:rsidRPr="005C255C" w14:paraId="3E3DA06C" w14:textId="77777777" w:rsidTr="00FB076A">
        <w:trPr>
          <w:trHeight w:val="600"/>
        </w:trPr>
        <w:tc>
          <w:tcPr>
            <w:tcW w:w="1350" w:type="dxa"/>
            <w:vMerge w:val="restart"/>
            <w:tcBorders>
              <w:top w:val="single" w:sz="4" w:space="0" w:color="auto"/>
              <w:left w:val="single" w:sz="4" w:space="0" w:color="auto"/>
              <w:right w:val="single" w:sz="4" w:space="0" w:color="auto"/>
            </w:tcBorders>
            <w:shd w:val="clear" w:color="auto" w:fill="auto"/>
            <w:vAlign w:val="center"/>
            <w:hideMark/>
          </w:tcPr>
          <w:p w14:paraId="01FE5628" w14:textId="77777777" w:rsidR="005C255C" w:rsidRPr="00FB076A" w:rsidRDefault="005C255C" w:rsidP="005C255C">
            <w:pPr>
              <w:spacing w:after="0" w:line="240" w:lineRule="auto"/>
              <w:jc w:val="center"/>
              <w:rPr>
                <w:rFonts w:ascii="Times New Roman" w:eastAsia="Times New Roman" w:hAnsi="Times New Roman" w:cs="Times New Roman"/>
                <w:bCs/>
                <w:color w:val="000000"/>
                <w:lang w:eastAsia="pt-BR"/>
              </w:rPr>
            </w:pPr>
            <w:r w:rsidRPr="005C255C">
              <w:rPr>
                <w:rFonts w:ascii="Times New Roman" w:eastAsia="Times New Roman" w:hAnsi="Times New Roman" w:cs="Times New Roman"/>
                <w:bCs/>
                <w:color w:val="000000"/>
                <w:lang w:eastAsia="pt-BR"/>
              </w:rPr>
              <w:t>Sáude e Segurança Ocupacional</w:t>
            </w:r>
          </w:p>
          <w:p w14:paraId="153BF76E" w14:textId="31B16848" w:rsidR="005C255C" w:rsidRPr="00FB076A" w:rsidRDefault="005C255C" w:rsidP="005C255C">
            <w:pPr>
              <w:spacing w:after="0" w:line="240" w:lineRule="auto"/>
              <w:jc w:val="center"/>
              <w:rPr>
                <w:rFonts w:ascii="Times New Roman" w:eastAsia="Times New Roman" w:hAnsi="Times New Roman" w:cs="Times New Roman"/>
                <w:bCs/>
                <w:color w:val="000000"/>
                <w:lang w:eastAsia="pt-BR"/>
              </w:rPr>
            </w:pPr>
          </w:p>
          <w:p w14:paraId="388FE199" w14:textId="77777777" w:rsidR="005C255C" w:rsidRPr="00FB076A" w:rsidRDefault="005C255C" w:rsidP="005C255C">
            <w:pPr>
              <w:spacing w:after="0" w:line="240" w:lineRule="auto"/>
              <w:jc w:val="left"/>
              <w:rPr>
                <w:rFonts w:ascii="Times New Roman" w:eastAsia="Times New Roman" w:hAnsi="Times New Roman" w:cs="Times New Roman"/>
                <w:b/>
                <w:bCs/>
                <w:color w:val="000000"/>
                <w:lang w:eastAsia="pt-BR"/>
              </w:rPr>
            </w:pPr>
            <w:r w:rsidRPr="005C255C">
              <w:rPr>
                <w:rFonts w:ascii="Times New Roman" w:eastAsia="Times New Roman" w:hAnsi="Times New Roman" w:cs="Times New Roman"/>
                <w:b/>
                <w:bCs/>
                <w:color w:val="000000"/>
                <w:lang w:eastAsia="pt-BR"/>
              </w:rPr>
              <w:t> </w:t>
            </w:r>
          </w:p>
          <w:p w14:paraId="02CE82A0" w14:textId="77777777" w:rsidR="005C255C" w:rsidRPr="00FB076A" w:rsidRDefault="005C255C" w:rsidP="005C255C">
            <w:pPr>
              <w:spacing w:after="0" w:line="240" w:lineRule="auto"/>
              <w:jc w:val="left"/>
              <w:rPr>
                <w:rFonts w:ascii="Times New Roman" w:eastAsia="Times New Roman" w:hAnsi="Times New Roman" w:cs="Times New Roman"/>
                <w:b/>
                <w:bCs/>
                <w:color w:val="000000"/>
                <w:lang w:eastAsia="pt-BR"/>
              </w:rPr>
            </w:pPr>
            <w:r w:rsidRPr="005C255C">
              <w:rPr>
                <w:rFonts w:ascii="Times New Roman" w:eastAsia="Times New Roman" w:hAnsi="Times New Roman" w:cs="Times New Roman"/>
                <w:b/>
                <w:bCs/>
                <w:color w:val="000000"/>
                <w:lang w:eastAsia="pt-BR"/>
              </w:rPr>
              <w:t> </w:t>
            </w:r>
          </w:p>
          <w:p w14:paraId="4775F803" w14:textId="77777777" w:rsidR="005C255C" w:rsidRPr="00FB076A" w:rsidRDefault="005C255C" w:rsidP="005C255C">
            <w:pPr>
              <w:spacing w:after="0" w:line="240" w:lineRule="auto"/>
              <w:jc w:val="left"/>
              <w:rPr>
                <w:rFonts w:ascii="Times New Roman" w:eastAsia="Times New Roman" w:hAnsi="Times New Roman" w:cs="Times New Roman"/>
                <w:b/>
                <w:bCs/>
                <w:color w:val="000000"/>
                <w:lang w:eastAsia="pt-BR"/>
              </w:rPr>
            </w:pPr>
            <w:r w:rsidRPr="005C255C">
              <w:rPr>
                <w:rFonts w:ascii="Times New Roman" w:eastAsia="Times New Roman" w:hAnsi="Times New Roman" w:cs="Times New Roman"/>
                <w:b/>
                <w:bCs/>
                <w:color w:val="000000"/>
                <w:lang w:eastAsia="pt-BR"/>
              </w:rPr>
              <w:t> </w:t>
            </w:r>
          </w:p>
          <w:p w14:paraId="13B8544D" w14:textId="77777777" w:rsidR="005C255C" w:rsidRPr="00FB076A" w:rsidRDefault="005C255C" w:rsidP="005C255C">
            <w:pPr>
              <w:spacing w:after="0" w:line="240" w:lineRule="auto"/>
              <w:jc w:val="left"/>
              <w:rPr>
                <w:rFonts w:ascii="Times New Roman" w:eastAsia="Times New Roman" w:hAnsi="Times New Roman" w:cs="Times New Roman"/>
                <w:b/>
                <w:bCs/>
                <w:color w:val="000000"/>
                <w:lang w:eastAsia="pt-BR"/>
              </w:rPr>
            </w:pPr>
            <w:r w:rsidRPr="005C255C">
              <w:rPr>
                <w:rFonts w:ascii="Times New Roman" w:eastAsia="Times New Roman" w:hAnsi="Times New Roman" w:cs="Times New Roman"/>
                <w:b/>
                <w:bCs/>
                <w:color w:val="000000"/>
                <w:lang w:eastAsia="pt-BR"/>
              </w:rPr>
              <w:t> </w:t>
            </w:r>
          </w:p>
          <w:p w14:paraId="2186C3D9" w14:textId="77777777" w:rsidR="005C255C" w:rsidRPr="00FB076A" w:rsidRDefault="005C255C" w:rsidP="005C255C">
            <w:pPr>
              <w:spacing w:after="0" w:line="240" w:lineRule="auto"/>
              <w:jc w:val="left"/>
              <w:rPr>
                <w:rFonts w:ascii="Times New Roman" w:eastAsia="Times New Roman" w:hAnsi="Times New Roman" w:cs="Times New Roman"/>
                <w:b/>
                <w:bCs/>
                <w:color w:val="000000"/>
                <w:lang w:eastAsia="pt-BR"/>
              </w:rPr>
            </w:pPr>
            <w:r w:rsidRPr="005C255C">
              <w:rPr>
                <w:rFonts w:ascii="Times New Roman" w:eastAsia="Times New Roman" w:hAnsi="Times New Roman" w:cs="Times New Roman"/>
                <w:b/>
                <w:bCs/>
                <w:color w:val="000000"/>
                <w:lang w:eastAsia="pt-BR"/>
              </w:rPr>
              <w:t> </w:t>
            </w:r>
          </w:p>
          <w:p w14:paraId="4A14264F" w14:textId="77777777" w:rsidR="005C255C" w:rsidRPr="00FB076A" w:rsidRDefault="005C255C" w:rsidP="005C255C">
            <w:pPr>
              <w:spacing w:after="0" w:line="240" w:lineRule="auto"/>
              <w:jc w:val="left"/>
              <w:rPr>
                <w:rFonts w:ascii="Times New Roman" w:eastAsia="Times New Roman" w:hAnsi="Times New Roman" w:cs="Times New Roman"/>
                <w:b/>
                <w:bCs/>
                <w:color w:val="000000"/>
                <w:lang w:eastAsia="pt-BR"/>
              </w:rPr>
            </w:pPr>
            <w:r w:rsidRPr="005C255C">
              <w:rPr>
                <w:rFonts w:ascii="Times New Roman" w:eastAsia="Times New Roman" w:hAnsi="Times New Roman" w:cs="Times New Roman"/>
                <w:b/>
                <w:bCs/>
                <w:color w:val="000000"/>
                <w:lang w:eastAsia="pt-BR"/>
              </w:rPr>
              <w:t> </w:t>
            </w:r>
          </w:p>
          <w:p w14:paraId="5EC8A49D" w14:textId="020E93AC" w:rsidR="005C255C" w:rsidRPr="005C255C" w:rsidRDefault="005C255C" w:rsidP="005C255C">
            <w:pPr>
              <w:spacing w:after="0" w:line="240" w:lineRule="auto"/>
              <w:jc w:val="left"/>
              <w:rPr>
                <w:rFonts w:ascii="Times New Roman" w:eastAsia="Times New Roman" w:hAnsi="Times New Roman" w:cs="Times New Roman"/>
                <w:b/>
                <w:bCs/>
                <w:color w:val="000000"/>
                <w:lang w:eastAsia="pt-BR"/>
              </w:rPr>
            </w:pPr>
            <w:r w:rsidRPr="005C255C">
              <w:rPr>
                <w:rFonts w:ascii="Times New Roman" w:eastAsia="Times New Roman" w:hAnsi="Times New Roman" w:cs="Times New Roman"/>
                <w:b/>
                <w:bCs/>
                <w:color w:val="000000"/>
                <w:lang w:eastAsia="pt-BR"/>
              </w:rPr>
              <w:t> </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01551"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403-1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B1EAF0C"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Sistema de gestão de saúde ocupacional e segurança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2E4B67"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20FABC6"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4,5</w:t>
            </w:r>
          </w:p>
        </w:tc>
      </w:tr>
      <w:tr w:rsidR="005C255C" w:rsidRPr="005C255C" w14:paraId="0CCFE551" w14:textId="77777777" w:rsidTr="00FB076A">
        <w:trPr>
          <w:trHeight w:val="600"/>
        </w:trPr>
        <w:tc>
          <w:tcPr>
            <w:tcW w:w="1350" w:type="dxa"/>
            <w:vMerge/>
            <w:tcBorders>
              <w:left w:val="single" w:sz="4" w:space="0" w:color="auto"/>
              <w:right w:val="single" w:sz="4" w:space="0" w:color="auto"/>
            </w:tcBorders>
            <w:shd w:val="clear" w:color="auto" w:fill="auto"/>
            <w:vAlign w:val="center"/>
            <w:hideMark/>
          </w:tcPr>
          <w:p w14:paraId="5D4032BD" w14:textId="41D0CABC" w:rsidR="005C255C" w:rsidRPr="005C255C" w:rsidRDefault="005C255C" w:rsidP="005C255C">
            <w:pPr>
              <w:spacing w:after="0" w:line="240" w:lineRule="auto"/>
              <w:jc w:val="left"/>
              <w:rPr>
                <w:rFonts w:ascii="Times New Roman" w:eastAsia="Times New Roman" w:hAnsi="Times New Roman" w:cs="Times New Roman"/>
                <w:b/>
                <w:bCs/>
                <w:color w:val="000000"/>
                <w:lang w:eastAsia="pt-BR"/>
              </w:rPr>
            </w:pP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02E75EE5"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403-2</w:t>
            </w:r>
          </w:p>
        </w:tc>
        <w:tc>
          <w:tcPr>
            <w:tcW w:w="3260" w:type="dxa"/>
            <w:tcBorders>
              <w:top w:val="nil"/>
              <w:left w:val="nil"/>
              <w:bottom w:val="single" w:sz="4" w:space="0" w:color="auto"/>
              <w:right w:val="single" w:sz="4" w:space="0" w:color="auto"/>
            </w:tcBorders>
            <w:shd w:val="clear" w:color="auto" w:fill="auto"/>
            <w:vAlign w:val="center"/>
            <w:hideMark/>
          </w:tcPr>
          <w:p w14:paraId="01302FB1"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Identificação de perigos, avaliação de riscos e investigação de incidentes</w:t>
            </w:r>
          </w:p>
        </w:tc>
        <w:tc>
          <w:tcPr>
            <w:tcW w:w="1560" w:type="dxa"/>
            <w:tcBorders>
              <w:top w:val="nil"/>
              <w:left w:val="nil"/>
              <w:bottom w:val="single" w:sz="4" w:space="0" w:color="auto"/>
              <w:right w:val="single" w:sz="4" w:space="0" w:color="auto"/>
            </w:tcBorders>
            <w:shd w:val="clear" w:color="auto" w:fill="auto"/>
            <w:vAlign w:val="center"/>
            <w:hideMark/>
          </w:tcPr>
          <w:p w14:paraId="30A24B22"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5</w:t>
            </w:r>
          </w:p>
        </w:tc>
        <w:tc>
          <w:tcPr>
            <w:tcW w:w="1417" w:type="dxa"/>
            <w:tcBorders>
              <w:top w:val="nil"/>
              <w:left w:val="nil"/>
              <w:bottom w:val="single" w:sz="4" w:space="0" w:color="auto"/>
              <w:right w:val="single" w:sz="4" w:space="0" w:color="auto"/>
            </w:tcBorders>
            <w:shd w:val="clear" w:color="auto" w:fill="auto"/>
            <w:noWrap/>
            <w:vAlign w:val="center"/>
            <w:hideMark/>
          </w:tcPr>
          <w:p w14:paraId="5D2919CE"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4,5</w:t>
            </w:r>
          </w:p>
        </w:tc>
      </w:tr>
      <w:tr w:rsidR="005C255C" w:rsidRPr="005C255C" w14:paraId="4E61A053" w14:textId="77777777" w:rsidTr="00FB076A">
        <w:trPr>
          <w:trHeight w:val="300"/>
        </w:trPr>
        <w:tc>
          <w:tcPr>
            <w:tcW w:w="1350" w:type="dxa"/>
            <w:vMerge/>
            <w:tcBorders>
              <w:left w:val="single" w:sz="4" w:space="0" w:color="auto"/>
              <w:right w:val="single" w:sz="4" w:space="0" w:color="auto"/>
            </w:tcBorders>
            <w:shd w:val="clear" w:color="auto" w:fill="auto"/>
            <w:vAlign w:val="center"/>
            <w:hideMark/>
          </w:tcPr>
          <w:p w14:paraId="1E9D1EC2" w14:textId="1D41F449" w:rsidR="005C255C" w:rsidRPr="005C255C" w:rsidRDefault="005C255C" w:rsidP="005C255C">
            <w:pPr>
              <w:spacing w:after="0" w:line="240" w:lineRule="auto"/>
              <w:jc w:val="left"/>
              <w:rPr>
                <w:rFonts w:ascii="Times New Roman" w:eastAsia="Times New Roman" w:hAnsi="Times New Roman" w:cs="Times New Roman"/>
                <w:b/>
                <w:bCs/>
                <w:color w:val="000000"/>
                <w:lang w:eastAsia="pt-BR"/>
              </w:rPr>
            </w:pP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0CB1B326"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403-3</w:t>
            </w:r>
          </w:p>
        </w:tc>
        <w:tc>
          <w:tcPr>
            <w:tcW w:w="3260" w:type="dxa"/>
            <w:tcBorders>
              <w:top w:val="nil"/>
              <w:left w:val="nil"/>
              <w:bottom w:val="single" w:sz="4" w:space="0" w:color="auto"/>
              <w:right w:val="single" w:sz="4" w:space="0" w:color="auto"/>
            </w:tcBorders>
            <w:shd w:val="clear" w:color="auto" w:fill="auto"/>
            <w:vAlign w:val="center"/>
            <w:hideMark/>
          </w:tcPr>
          <w:p w14:paraId="183274E6"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Serviços de saúde ocupacional</w:t>
            </w:r>
          </w:p>
        </w:tc>
        <w:tc>
          <w:tcPr>
            <w:tcW w:w="1560" w:type="dxa"/>
            <w:tcBorders>
              <w:top w:val="nil"/>
              <w:left w:val="nil"/>
              <w:bottom w:val="single" w:sz="4" w:space="0" w:color="auto"/>
              <w:right w:val="single" w:sz="4" w:space="0" w:color="auto"/>
            </w:tcBorders>
            <w:shd w:val="clear" w:color="auto" w:fill="auto"/>
            <w:vAlign w:val="center"/>
            <w:hideMark/>
          </w:tcPr>
          <w:p w14:paraId="62BB68F4"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5</w:t>
            </w:r>
          </w:p>
        </w:tc>
        <w:tc>
          <w:tcPr>
            <w:tcW w:w="1417" w:type="dxa"/>
            <w:tcBorders>
              <w:top w:val="nil"/>
              <w:left w:val="nil"/>
              <w:bottom w:val="single" w:sz="4" w:space="0" w:color="auto"/>
              <w:right w:val="single" w:sz="4" w:space="0" w:color="auto"/>
            </w:tcBorders>
            <w:shd w:val="clear" w:color="auto" w:fill="auto"/>
            <w:noWrap/>
            <w:vAlign w:val="center"/>
            <w:hideMark/>
          </w:tcPr>
          <w:p w14:paraId="4AB64AD5"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4,5</w:t>
            </w:r>
          </w:p>
        </w:tc>
      </w:tr>
      <w:tr w:rsidR="005C255C" w:rsidRPr="005C255C" w14:paraId="6FDFAE5F" w14:textId="77777777" w:rsidTr="00FB076A">
        <w:trPr>
          <w:trHeight w:val="900"/>
        </w:trPr>
        <w:tc>
          <w:tcPr>
            <w:tcW w:w="1350" w:type="dxa"/>
            <w:vMerge/>
            <w:tcBorders>
              <w:left w:val="single" w:sz="4" w:space="0" w:color="auto"/>
              <w:right w:val="single" w:sz="4" w:space="0" w:color="auto"/>
            </w:tcBorders>
            <w:shd w:val="clear" w:color="auto" w:fill="auto"/>
            <w:vAlign w:val="center"/>
            <w:hideMark/>
          </w:tcPr>
          <w:p w14:paraId="12506CEB" w14:textId="6B200BB0" w:rsidR="005C255C" w:rsidRPr="005C255C" w:rsidRDefault="005C255C" w:rsidP="005C255C">
            <w:pPr>
              <w:spacing w:after="0" w:line="240" w:lineRule="auto"/>
              <w:jc w:val="left"/>
              <w:rPr>
                <w:rFonts w:ascii="Times New Roman" w:eastAsia="Times New Roman" w:hAnsi="Times New Roman" w:cs="Times New Roman"/>
                <w:b/>
                <w:bCs/>
                <w:color w:val="000000"/>
                <w:lang w:eastAsia="pt-BR"/>
              </w:rPr>
            </w:pP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326F21E7"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403-4</w:t>
            </w:r>
          </w:p>
        </w:tc>
        <w:tc>
          <w:tcPr>
            <w:tcW w:w="3260" w:type="dxa"/>
            <w:tcBorders>
              <w:top w:val="nil"/>
              <w:left w:val="nil"/>
              <w:bottom w:val="single" w:sz="4" w:space="0" w:color="auto"/>
              <w:right w:val="single" w:sz="4" w:space="0" w:color="auto"/>
            </w:tcBorders>
            <w:shd w:val="clear" w:color="auto" w:fill="auto"/>
            <w:vAlign w:val="center"/>
            <w:hideMark/>
          </w:tcPr>
          <w:p w14:paraId="6C746D09"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Participação do trabalhador, consulta e comunicação sobre saúde e segurança ocupacional</w:t>
            </w:r>
          </w:p>
        </w:tc>
        <w:tc>
          <w:tcPr>
            <w:tcW w:w="1560" w:type="dxa"/>
            <w:tcBorders>
              <w:top w:val="nil"/>
              <w:left w:val="nil"/>
              <w:bottom w:val="single" w:sz="4" w:space="0" w:color="auto"/>
              <w:right w:val="single" w:sz="4" w:space="0" w:color="auto"/>
            </w:tcBorders>
            <w:shd w:val="clear" w:color="auto" w:fill="auto"/>
            <w:vAlign w:val="center"/>
            <w:hideMark/>
          </w:tcPr>
          <w:p w14:paraId="4987F578"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5</w:t>
            </w:r>
          </w:p>
        </w:tc>
        <w:tc>
          <w:tcPr>
            <w:tcW w:w="1417" w:type="dxa"/>
            <w:tcBorders>
              <w:top w:val="nil"/>
              <w:left w:val="nil"/>
              <w:bottom w:val="single" w:sz="4" w:space="0" w:color="auto"/>
              <w:right w:val="single" w:sz="4" w:space="0" w:color="auto"/>
            </w:tcBorders>
            <w:shd w:val="clear" w:color="auto" w:fill="auto"/>
            <w:noWrap/>
            <w:vAlign w:val="center"/>
            <w:hideMark/>
          </w:tcPr>
          <w:p w14:paraId="7FE0D887"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w:t>
            </w:r>
          </w:p>
        </w:tc>
      </w:tr>
      <w:tr w:rsidR="005C255C" w:rsidRPr="005C255C" w14:paraId="087EA83F" w14:textId="77777777" w:rsidTr="00FB076A">
        <w:trPr>
          <w:trHeight w:val="600"/>
        </w:trPr>
        <w:tc>
          <w:tcPr>
            <w:tcW w:w="1350" w:type="dxa"/>
            <w:vMerge/>
            <w:tcBorders>
              <w:left w:val="single" w:sz="4" w:space="0" w:color="auto"/>
              <w:right w:val="single" w:sz="4" w:space="0" w:color="auto"/>
            </w:tcBorders>
            <w:shd w:val="clear" w:color="auto" w:fill="auto"/>
            <w:vAlign w:val="center"/>
            <w:hideMark/>
          </w:tcPr>
          <w:p w14:paraId="7331721D" w14:textId="5C7D2E14" w:rsidR="005C255C" w:rsidRPr="005C255C" w:rsidRDefault="005C255C" w:rsidP="005C255C">
            <w:pPr>
              <w:spacing w:after="0" w:line="240" w:lineRule="auto"/>
              <w:jc w:val="left"/>
              <w:rPr>
                <w:rFonts w:ascii="Times New Roman" w:eastAsia="Times New Roman" w:hAnsi="Times New Roman" w:cs="Times New Roman"/>
                <w:b/>
                <w:bCs/>
                <w:color w:val="000000"/>
                <w:lang w:eastAsia="pt-BR"/>
              </w:rPr>
            </w:pP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4AF3A943"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403-5</w:t>
            </w:r>
          </w:p>
        </w:tc>
        <w:tc>
          <w:tcPr>
            <w:tcW w:w="3260" w:type="dxa"/>
            <w:tcBorders>
              <w:top w:val="nil"/>
              <w:left w:val="nil"/>
              <w:bottom w:val="single" w:sz="4" w:space="0" w:color="auto"/>
              <w:right w:val="single" w:sz="4" w:space="0" w:color="auto"/>
            </w:tcBorders>
            <w:shd w:val="clear" w:color="auto" w:fill="auto"/>
            <w:vAlign w:val="center"/>
            <w:hideMark/>
          </w:tcPr>
          <w:p w14:paraId="00B14A62"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Treinamento de trabalhadores em saúde e segurança ocupacional</w:t>
            </w:r>
          </w:p>
        </w:tc>
        <w:tc>
          <w:tcPr>
            <w:tcW w:w="1560" w:type="dxa"/>
            <w:tcBorders>
              <w:top w:val="nil"/>
              <w:left w:val="nil"/>
              <w:bottom w:val="single" w:sz="4" w:space="0" w:color="auto"/>
              <w:right w:val="single" w:sz="4" w:space="0" w:color="auto"/>
            </w:tcBorders>
            <w:shd w:val="clear" w:color="auto" w:fill="auto"/>
            <w:vAlign w:val="center"/>
            <w:hideMark/>
          </w:tcPr>
          <w:p w14:paraId="2C7F3951"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5</w:t>
            </w:r>
          </w:p>
        </w:tc>
        <w:tc>
          <w:tcPr>
            <w:tcW w:w="1417" w:type="dxa"/>
            <w:tcBorders>
              <w:top w:val="nil"/>
              <w:left w:val="nil"/>
              <w:bottom w:val="single" w:sz="4" w:space="0" w:color="auto"/>
              <w:right w:val="single" w:sz="4" w:space="0" w:color="auto"/>
            </w:tcBorders>
            <w:shd w:val="clear" w:color="auto" w:fill="auto"/>
            <w:noWrap/>
            <w:vAlign w:val="center"/>
            <w:hideMark/>
          </w:tcPr>
          <w:p w14:paraId="27C6963F"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w:t>
            </w:r>
          </w:p>
        </w:tc>
      </w:tr>
      <w:tr w:rsidR="005C255C" w:rsidRPr="005C255C" w14:paraId="59F0878D" w14:textId="77777777" w:rsidTr="00FB076A">
        <w:trPr>
          <w:trHeight w:val="300"/>
        </w:trPr>
        <w:tc>
          <w:tcPr>
            <w:tcW w:w="1350" w:type="dxa"/>
            <w:vMerge/>
            <w:tcBorders>
              <w:left w:val="single" w:sz="4" w:space="0" w:color="auto"/>
              <w:right w:val="single" w:sz="4" w:space="0" w:color="auto"/>
            </w:tcBorders>
            <w:shd w:val="clear" w:color="auto" w:fill="auto"/>
            <w:vAlign w:val="center"/>
            <w:hideMark/>
          </w:tcPr>
          <w:p w14:paraId="7E09414D" w14:textId="5B248166" w:rsidR="005C255C" w:rsidRPr="005C255C" w:rsidRDefault="005C255C" w:rsidP="005C255C">
            <w:pPr>
              <w:spacing w:after="0" w:line="240" w:lineRule="auto"/>
              <w:jc w:val="left"/>
              <w:rPr>
                <w:rFonts w:ascii="Times New Roman" w:eastAsia="Times New Roman" w:hAnsi="Times New Roman" w:cs="Times New Roman"/>
                <w:b/>
                <w:bCs/>
                <w:color w:val="000000"/>
                <w:lang w:eastAsia="pt-BR"/>
              </w:rPr>
            </w:pP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441B294F"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403-6</w:t>
            </w:r>
          </w:p>
        </w:tc>
        <w:tc>
          <w:tcPr>
            <w:tcW w:w="3260" w:type="dxa"/>
            <w:tcBorders>
              <w:top w:val="nil"/>
              <w:left w:val="nil"/>
              <w:bottom w:val="single" w:sz="4" w:space="0" w:color="auto"/>
              <w:right w:val="single" w:sz="4" w:space="0" w:color="auto"/>
            </w:tcBorders>
            <w:shd w:val="clear" w:color="auto" w:fill="auto"/>
            <w:vAlign w:val="center"/>
            <w:hideMark/>
          </w:tcPr>
          <w:p w14:paraId="610CA75F"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Promoção da saúde do trabalhador</w:t>
            </w:r>
          </w:p>
        </w:tc>
        <w:tc>
          <w:tcPr>
            <w:tcW w:w="1560" w:type="dxa"/>
            <w:tcBorders>
              <w:top w:val="nil"/>
              <w:left w:val="nil"/>
              <w:bottom w:val="single" w:sz="4" w:space="0" w:color="auto"/>
              <w:right w:val="single" w:sz="4" w:space="0" w:color="auto"/>
            </w:tcBorders>
            <w:shd w:val="clear" w:color="auto" w:fill="auto"/>
            <w:vAlign w:val="center"/>
            <w:hideMark/>
          </w:tcPr>
          <w:p w14:paraId="3D7DC207"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5</w:t>
            </w:r>
          </w:p>
        </w:tc>
        <w:tc>
          <w:tcPr>
            <w:tcW w:w="1417" w:type="dxa"/>
            <w:tcBorders>
              <w:top w:val="nil"/>
              <w:left w:val="nil"/>
              <w:bottom w:val="single" w:sz="4" w:space="0" w:color="auto"/>
              <w:right w:val="single" w:sz="4" w:space="0" w:color="auto"/>
            </w:tcBorders>
            <w:shd w:val="clear" w:color="auto" w:fill="auto"/>
            <w:noWrap/>
            <w:vAlign w:val="center"/>
            <w:hideMark/>
          </w:tcPr>
          <w:p w14:paraId="1C894A35"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w:t>
            </w:r>
          </w:p>
        </w:tc>
      </w:tr>
      <w:tr w:rsidR="005C255C" w:rsidRPr="005C255C" w14:paraId="1D1CABF8" w14:textId="77777777" w:rsidTr="00FB076A">
        <w:trPr>
          <w:trHeight w:val="900"/>
        </w:trPr>
        <w:tc>
          <w:tcPr>
            <w:tcW w:w="1350" w:type="dxa"/>
            <w:vMerge/>
            <w:tcBorders>
              <w:left w:val="single" w:sz="4" w:space="0" w:color="auto"/>
              <w:right w:val="single" w:sz="4" w:space="0" w:color="auto"/>
            </w:tcBorders>
            <w:shd w:val="clear" w:color="auto" w:fill="auto"/>
            <w:vAlign w:val="center"/>
            <w:hideMark/>
          </w:tcPr>
          <w:p w14:paraId="7B8D242E" w14:textId="6A143D77" w:rsidR="005C255C" w:rsidRPr="005C255C" w:rsidRDefault="005C255C" w:rsidP="005C255C">
            <w:pPr>
              <w:spacing w:after="0" w:line="240" w:lineRule="auto"/>
              <w:jc w:val="left"/>
              <w:rPr>
                <w:rFonts w:ascii="Times New Roman" w:eastAsia="Times New Roman" w:hAnsi="Times New Roman" w:cs="Times New Roman"/>
                <w:b/>
                <w:bCs/>
                <w:color w:val="000000"/>
                <w:lang w:eastAsia="pt-BR"/>
              </w:rPr>
            </w:pP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70B1F17E"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403-7</w:t>
            </w:r>
          </w:p>
        </w:tc>
        <w:tc>
          <w:tcPr>
            <w:tcW w:w="3260" w:type="dxa"/>
            <w:tcBorders>
              <w:top w:val="nil"/>
              <w:left w:val="nil"/>
              <w:bottom w:val="single" w:sz="4" w:space="0" w:color="auto"/>
              <w:right w:val="single" w:sz="4" w:space="0" w:color="auto"/>
            </w:tcBorders>
            <w:shd w:val="clear" w:color="auto" w:fill="auto"/>
            <w:vAlign w:val="center"/>
            <w:hideMark/>
          </w:tcPr>
          <w:p w14:paraId="758A677B"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Prevenção e mitigação de impactos na saúde e segurança ocupacional diretamente ligados por relações comerciais</w:t>
            </w:r>
          </w:p>
        </w:tc>
        <w:tc>
          <w:tcPr>
            <w:tcW w:w="1560" w:type="dxa"/>
            <w:tcBorders>
              <w:top w:val="nil"/>
              <w:left w:val="nil"/>
              <w:bottom w:val="single" w:sz="4" w:space="0" w:color="auto"/>
              <w:right w:val="single" w:sz="4" w:space="0" w:color="auto"/>
            </w:tcBorders>
            <w:shd w:val="clear" w:color="auto" w:fill="auto"/>
            <w:vAlign w:val="center"/>
            <w:hideMark/>
          </w:tcPr>
          <w:p w14:paraId="59B0CB80"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5</w:t>
            </w:r>
          </w:p>
        </w:tc>
        <w:tc>
          <w:tcPr>
            <w:tcW w:w="1417" w:type="dxa"/>
            <w:tcBorders>
              <w:top w:val="nil"/>
              <w:left w:val="nil"/>
              <w:bottom w:val="single" w:sz="4" w:space="0" w:color="auto"/>
              <w:right w:val="single" w:sz="4" w:space="0" w:color="auto"/>
            </w:tcBorders>
            <w:shd w:val="clear" w:color="auto" w:fill="auto"/>
            <w:noWrap/>
            <w:vAlign w:val="center"/>
            <w:hideMark/>
          </w:tcPr>
          <w:p w14:paraId="6E7BC40A"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4,5</w:t>
            </w:r>
          </w:p>
        </w:tc>
      </w:tr>
      <w:tr w:rsidR="005C255C" w:rsidRPr="005C255C" w14:paraId="6B414670" w14:textId="77777777" w:rsidTr="00FB076A">
        <w:trPr>
          <w:trHeight w:val="315"/>
        </w:trPr>
        <w:tc>
          <w:tcPr>
            <w:tcW w:w="1350" w:type="dxa"/>
            <w:vMerge/>
            <w:tcBorders>
              <w:left w:val="single" w:sz="4" w:space="0" w:color="auto"/>
              <w:right w:val="single" w:sz="4" w:space="0" w:color="auto"/>
            </w:tcBorders>
            <w:shd w:val="clear" w:color="auto" w:fill="auto"/>
            <w:vAlign w:val="center"/>
            <w:hideMark/>
          </w:tcPr>
          <w:p w14:paraId="6FFE1824" w14:textId="4F408AEA" w:rsidR="005C255C" w:rsidRPr="005C255C" w:rsidRDefault="005C255C" w:rsidP="005C255C">
            <w:pPr>
              <w:spacing w:after="0" w:line="240" w:lineRule="auto"/>
              <w:jc w:val="left"/>
              <w:rPr>
                <w:rFonts w:ascii="Times New Roman" w:eastAsia="Times New Roman" w:hAnsi="Times New Roman" w:cs="Times New Roman"/>
                <w:b/>
                <w:bCs/>
                <w:color w:val="000000"/>
                <w:lang w:eastAsia="pt-BR"/>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10F20"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403-9</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7DDDD6C"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Lesões relacionadas ao trabalho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58444D0"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E50C278"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5</w:t>
            </w:r>
          </w:p>
        </w:tc>
      </w:tr>
      <w:tr w:rsidR="005C255C" w:rsidRPr="005C255C" w14:paraId="4BA9D266" w14:textId="77777777" w:rsidTr="00FB076A">
        <w:trPr>
          <w:trHeight w:val="600"/>
        </w:trPr>
        <w:tc>
          <w:tcPr>
            <w:tcW w:w="1350" w:type="dxa"/>
            <w:vMerge/>
            <w:tcBorders>
              <w:left w:val="single" w:sz="4" w:space="0" w:color="auto"/>
              <w:bottom w:val="single" w:sz="4" w:space="0" w:color="auto"/>
              <w:right w:val="single" w:sz="4" w:space="0" w:color="auto"/>
            </w:tcBorders>
            <w:shd w:val="clear" w:color="auto" w:fill="auto"/>
            <w:vAlign w:val="center"/>
            <w:hideMark/>
          </w:tcPr>
          <w:p w14:paraId="42383684" w14:textId="4ADD81C9" w:rsidR="005C255C" w:rsidRPr="005C255C" w:rsidRDefault="005C255C" w:rsidP="005C255C">
            <w:pPr>
              <w:spacing w:after="0" w:line="240" w:lineRule="auto"/>
              <w:jc w:val="left"/>
              <w:rPr>
                <w:rFonts w:ascii="Times New Roman" w:eastAsia="Times New Roman" w:hAnsi="Times New Roman" w:cs="Times New Roman"/>
                <w:b/>
                <w:bCs/>
                <w:color w:val="000000"/>
                <w:lang w:eastAsia="pt-BR"/>
              </w:rPr>
            </w:pP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01903B4D"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403-10</w:t>
            </w:r>
          </w:p>
        </w:tc>
        <w:tc>
          <w:tcPr>
            <w:tcW w:w="3260" w:type="dxa"/>
            <w:tcBorders>
              <w:top w:val="nil"/>
              <w:left w:val="nil"/>
              <w:bottom w:val="single" w:sz="4" w:space="0" w:color="auto"/>
              <w:right w:val="single" w:sz="4" w:space="0" w:color="auto"/>
            </w:tcBorders>
            <w:shd w:val="clear" w:color="auto" w:fill="auto"/>
            <w:vAlign w:val="center"/>
            <w:hideMark/>
          </w:tcPr>
          <w:p w14:paraId="153FA82E"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Problemas de saúde relacionados ao trabalho</w:t>
            </w:r>
          </w:p>
        </w:tc>
        <w:tc>
          <w:tcPr>
            <w:tcW w:w="1560" w:type="dxa"/>
            <w:tcBorders>
              <w:top w:val="nil"/>
              <w:left w:val="nil"/>
              <w:bottom w:val="single" w:sz="4" w:space="0" w:color="auto"/>
              <w:right w:val="single" w:sz="4" w:space="0" w:color="auto"/>
            </w:tcBorders>
            <w:shd w:val="clear" w:color="auto" w:fill="auto"/>
            <w:vAlign w:val="center"/>
            <w:hideMark/>
          </w:tcPr>
          <w:p w14:paraId="4623B0D2"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5</w:t>
            </w:r>
          </w:p>
        </w:tc>
        <w:tc>
          <w:tcPr>
            <w:tcW w:w="1417" w:type="dxa"/>
            <w:tcBorders>
              <w:top w:val="nil"/>
              <w:left w:val="nil"/>
              <w:bottom w:val="single" w:sz="4" w:space="0" w:color="auto"/>
              <w:right w:val="single" w:sz="4" w:space="0" w:color="auto"/>
            </w:tcBorders>
            <w:shd w:val="clear" w:color="auto" w:fill="auto"/>
            <w:noWrap/>
            <w:vAlign w:val="center"/>
            <w:hideMark/>
          </w:tcPr>
          <w:p w14:paraId="624351E6"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5</w:t>
            </w:r>
          </w:p>
        </w:tc>
      </w:tr>
      <w:tr w:rsidR="00FB076A" w:rsidRPr="005C255C" w14:paraId="3F361959" w14:textId="77777777" w:rsidTr="00FB076A">
        <w:trPr>
          <w:trHeight w:val="90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4CF977D5" w14:textId="5AF986B3" w:rsidR="005C255C" w:rsidRPr="005C255C" w:rsidRDefault="005C255C" w:rsidP="005C255C">
            <w:pPr>
              <w:spacing w:after="0" w:line="240" w:lineRule="auto"/>
              <w:jc w:val="center"/>
              <w:rPr>
                <w:rFonts w:ascii="Times New Roman" w:eastAsia="Times New Roman" w:hAnsi="Times New Roman" w:cs="Times New Roman"/>
                <w:bCs/>
                <w:color w:val="000000"/>
                <w:lang w:eastAsia="pt-BR"/>
              </w:rPr>
            </w:pPr>
            <w:r w:rsidRPr="00FB076A">
              <w:rPr>
                <w:rFonts w:ascii="Times New Roman" w:eastAsia="Times New Roman" w:hAnsi="Times New Roman" w:cs="Times New Roman"/>
                <w:bCs/>
                <w:color w:val="000000"/>
                <w:lang w:eastAsia="pt-BR"/>
              </w:rPr>
              <w:t>Comunidades Locais</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70BFC"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413-2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71381B7"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Operações com impactos negativos significativos reais e potenciais nas comunidades locais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26401AE"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1A12C88" w14:textId="77777777" w:rsidR="005C255C" w:rsidRPr="005C255C" w:rsidRDefault="005C255C" w:rsidP="005C255C">
            <w:pPr>
              <w:spacing w:after="0" w:line="240" w:lineRule="auto"/>
              <w:jc w:val="center"/>
              <w:rPr>
                <w:rFonts w:ascii="Times New Roman" w:eastAsia="Times New Roman" w:hAnsi="Times New Roman" w:cs="Times New Roman"/>
                <w:color w:val="000000"/>
                <w:lang w:eastAsia="pt-BR"/>
              </w:rPr>
            </w:pPr>
            <w:r w:rsidRPr="005C255C">
              <w:rPr>
                <w:rFonts w:ascii="Times New Roman" w:eastAsia="Times New Roman" w:hAnsi="Times New Roman" w:cs="Times New Roman"/>
                <w:color w:val="000000"/>
                <w:lang w:eastAsia="pt-BR"/>
              </w:rPr>
              <w:t>3,5</w:t>
            </w:r>
          </w:p>
        </w:tc>
      </w:tr>
    </w:tbl>
    <w:p w14:paraId="34585219" w14:textId="6FD7530E" w:rsidR="005C255C" w:rsidRPr="00844761" w:rsidRDefault="00E3547E" w:rsidP="007D0059">
      <w:pPr>
        <w:rPr>
          <w:rFonts w:ascii="Times New Roman" w:hAnsi="Times New Roman" w:cs="Times New Roman"/>
          <w:sz w:val="24"/>
          <w:szCs w:val="24"/>
        </w:rPr>
      </w:pPr>
      <w:r>
        <w:rPr>
          <w:rFonts w:ascii="Times New Roman" w:hAnsi="Times New Roman" w:cs="Times New Roman"/>
          <w:sz w:val="24"/>
          <w:szCs w:val="24"/>
        </w:rPr>
        <w:t>Fonte: Autor (2019).</w:t>
      </w:r>
    </w:p>
    <w:p w14:paraId="5D5CB8EF" w14:textId="3CCB7F43" w:rsidR="005C255C" w:rsidRDefault="005C255C" w:rsidP="00436224">
      <w:pPr>
        <w:rPr>
          <w:rFonts w:ascii="Times New Roman" w:hAnsi="Times New Roman" w:cs="Times New Roman"/>
          <w:sz w:val="24"/>
          <w:szCs w:val="24"/>
        </w:rPr>
      </w:pPr>
    </w:p>
    <w:p w14:paraId="65DE0DB2" w14:textId="12C05622" w:rsidR="00792348" w:rsidRDefault="00792348" w:rsidP="00436224">
      <w:pPr>
        <w:rPr>
          <w:rFonts w:ascii="Times New Roman" w:hAnsi="Times New Roman" w:cs="Times New Roman"/>
          <w:sz w:val="24"/>
          <w:szCs w:val="24"/>
        </w:rPr>
      </w:pPr>
    </w:p>
    <w:p w14:paraId="77B5227A" w14:textId="77777777" w:rsidR="00792348" w:rsidRDefault="00792348" w:rsidP="00436224">
      <w:pPr>
        <w:rPr>
          <w:rFonts w:ascii="Times New Roman" w:hAnsi="Times New Roman" w:cs="Times New Roman"/>
          <w:sz w:val="24"/>
          <w:szCs w:val="24"/>
        </w:rPr>
      </w:pPr>
    </w:p>
    <w:p w14:paraId="559B629E" w14:textId="45232AC1" w:rsidR="00F20AD7" w:rsidRDefault="00F20AD7" w:rsidP="00436224">
      <w:pPr>
        <w:rPr>
          <w:rFonts w:ascii="Times New Roman" w:hAnsi="Times New Roman" w:cs="Times New Roman"/>
          <w:sz w:val="24"/>
          <w:szCs w:val="24"/>
        </w:rPr>
      </w:pPr>
    </w:p>
    <w:p w14:paraId="406536E2" w14:textId="307E52D9" w:rsidR="00F20AD7" w:rsidRPr="00E3547E" w:rsidRDefault="00F20AD7" w:rsidP="00F20AD7">
      <w:pPr>
        <w:rPr>
          <w:rFonts w:ascii="Times New Roman" w:hAnsi="Times New Roman" w:cs="Times New Roman"/>
          <w:szCs w:val="24"/>
        </w:rPr>
      </w:pPr>
      <w:r w:rsidRPr="00E3547E">
        <w:rPr>
          <w:rFonts w:ascii="Times New Roman" w:hAnsi="Times New Roman" w:cs="Times New Roman"/>
          <w:szCs w:val="24"/>
        </w:rPr>
        <w:lastRenderedPageBreak/>
        <w:t xml:space="preserve">Tabela </w:t>
      </w:r>
      <w:r>
        <w:rPr>
          <w:rFonts w:ascii="Times New Roman" w:hAnsi="Times New Roman" w:cs="Times New Roman"/>
          <w:szCs w:val="24"/>
        </w:rPr>
        <w:t>3</w:t>
      </w:r>
      <w:r w:rsidRPr="00E3547E">
        <w:rPr>
          <w:rFonts w:ascii="Times New Roman" w:hAnsi="Times New Roman" w:cs="Times New Roman"/>
          <w:szCs w:val="24"/>
        </w:rPr>
        <w:t xml:space="preserve"> – Indicadores</w:t>
      </w:r>
      <w:r>
        <w:rPr>
          <w:rFonts w:ascii="Times New Roman" w:hAnsi="Times New Roman" w:cs="Times New Roman"/>
          <w:szCs w:val="24"/>
        </w:rPr>
        <w:t xml:space="preserve"> consideram como “obtenção com pouco esforço”</w:t>
      </w:r>
      <w:r w:rsidRPr="00E3547E">
        <w:rPr>
          <w:rFonts w:ascii="Times New Roman" w:hAnsi="Times New Roman" w:cs="Times New Roman"/>
          <w:szCs w:val="24"/>
        </w:rPr>
        <w:t>.</w:t>
      </w:r>
    </w:p>
    <w:tbl>
      <w:tblPr>
        <w:tblW w:w="8500" w:type="dxa"/>
        <w:tblCellMar>
          <w:left w:w="70" w:type="dxa"/>
          <w:right w:w="70" w:type="dxa"/>
        </w:tblCellMar>
        <w:tblLook w:val="04A0" w:firstRow="1" w:lastRow="0" w:firstColumn="1" w:lastColumn="0" w:noHBand="0" w:noVBand="1"/>
      </w:tblPr>
      <w:tblGrid>
        <w:gridCol w:w="1436"/>
        <w:gridCol w:w="996"/>
        <w:gridCol w:w="2940"/>
        <w:gridCol w:w="1668"/>
        <w:gridCol w:w="1460"/>
      </w:tblGrid>
      <w:tr w:rsidR="00F20AD7" w:rsidRPr="00F20AD7" w14:paraId="39D72A00" w14:textId="77777777" w:rsidTr="00F20AD7">
        <w:trPr>
          <w:trHeight w:val="69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AAD2C"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TÓPICO</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250BD"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CÓDIGO</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2EA0681C"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INDICADORES</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5AC6C0FA"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MÉDIA</w:t>
            </w:r>
            <w:r w:rsidRPr="00F20AD7">
              <w:rPr>
                <w:rFonts w:ascii="Times New Roman" w:eastAsia="Times New Roman" w:hAnsi="Times New Roman" w:cs="Times New Roman"/>
                <w:color w:val="000000"/>
                <w:lang w:eastAsia="pt-BR"/>
              </w:rPr>
              <w:br/>
              <w:t>IMPORTÂNCIA</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5E6299D"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MÉDIA</w:t>
            </w:r>
            <w:r w:rsidRPr="00F20AD7">
              <w:rPr>
                <w:rFonts w:ascii="Times New Roman" w:eastAsia="Times New Roman" w:hAnsi="Times New Roman" w:cs="Times New Roman"/>
                <w:color w:val="000000"/>
                <w:lang w:eastAsia="pt-BR"/>
              </w:rPr>
              <w:br/>
              <w:t>INFLUÊNCIA</w:t>
            </w:r>
          </w:p>
        </w:tc>
      </w:tr>
      <w:tr w:rsidR="00F20AD7" w:rsidRPr="00F20AD7" w14:paraId="2DDA8189" w14:textId="77777777" w:rsidTr="00F20AD7">
        <w:trPr>
          <w:trHeight w:val="600"/>
        </w:trPr>
        <w:tc>
          <w:tcPr>
            <w:tcW w:w="1436" w:type="dxa"/>
            <w:vMerge w:val="restart"/>
            <w:tcBorders>
              <w:top w:val="nil"/>
              <w:left w:val="single" w:sz="4" w:space="0" w:color="auto"/>
              <w:right w:val="single" w:sz="4" w:space="0" w:color="auto"/>
            </w:tcBorders>
            <w:shd w:val="clear" w:color="auto" w:fill="auto"/>
            <w:vAlign w:val="center"/>
            <w:hideMark/>
          </w:tcPr>
          <w:p w14:paraId="0DC5E6BA"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Emprego</w:t>
            </w:r>
          </w:p>
          <w:p w14:paraId="0E732429" w14:textId="32142E89"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23EEA6B"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401-1</w:t>
            </w:r>
          </w:p>
        </w:tc>
        <w:tc>
          <w:tcPr>
            <w:tcW w:w="2940" w:type="dxa"/>
            <w:tcBorders>
              <w:top w:val="nil"/>
              <w:left w:val="nil"/>
              <w:bottom w:val="single" w:sz="4" w:space="0" w:color="auto"/>
              <w:right w:val="single" w:sz="4" w:space="0" w:color="auto"/>
            </w:tcBorders>
            <w:shd w:val="clear" w:color="auto" w:fill="auto"/>
            <w:vAlign w:val="center"/>
            <w:hideMark/>
          </w:tcPr>
          <w:p w14:paraId="72B40D8B"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Novas contratações de funcionários e rotatividade de funcionários</w:t>
            </w:r>
          </w:p>
        </w:tc>
        <w:tc>
          <w:tcPr>
            <w:tcW w:w="1668" w:type="dxa"/>
            <w:tcBorders>
              <w:top w:val="nil"/>
              <w:left w:val="nil"/>
              <w:bottom w:val="single" w:sz="4" w:space="0" w:color="auto"/>
              <w:right w:val="single" w:sz="4" w:space="0" w:color="auto"/>
            </w:tcBorders>
            <w:shd w:val="clear" w:color="auto" w:fill="auto"/>
            <w:vAlign w:val="center"/>
            <w:hideMark/>
          </w:tcPr>
          <w:p w14:paraId="00788550"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5</w:t>
            </w:r>
          </w:p>
        </w:tc>
        <w:tc>
          <w:tcPr>
            <w:tcW w:w="1460" w:type="dxa"/>
            <w:tcBorders>
              <w:top w:val="nil"/>
              <w:left w:val="nil"/>
              <w:bottom w:val="single" w:sz="4" w:space="0" w:color="auto"/>
              <w:right w:val="single" w:sz="4" w:space="0" w:color="auto"/>
            </w:tcBorders>
            <w:shd w:val="clear" w:color="auto" w:fill="auto"/>
            <w:noWrap/>
            <w:vAlign w:val="center"/>
            <w:hideMark/>
          </w:tcPr>
          <w:p w14:paraId="2A9EEC43"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3</w:t>
            </w:r>
          </w:p>
        </w:tc>
      </w:tr>
      <w:tr w:rsidR="00F20AD7" w:rsidRPr="00F20AD7" w14:paraId="12CBCA8B" w14:textId="77777777" w:rsidTr="00F20AD7">
        <w:trPr>
          <w:trHeight w:val="330"/>
        </w:trPr>
        <w:tc>
          <w:tcPr>
            <w:tcW w:w="1436" w:type="dxa"/>
            <w:vMerge/>
            <w:tcBorders>
              <w:left w:val="single" w:sz="4" w:space="0" w:color="auto"/>
              <w:bottom w:val="single" w:sz="4" w:space="0" w:color="auto"/>
              <w:right w:val="single" w:sz="4" w:space="0" w:color="auto"/>
            </w:tcBorders>
            <w:shd w:val="clear" w:color="auto" w:fill="auto"/>
            <w:vAlign w:val="center"/>
            <w:hideMark/>
          </w:tcPr>
          <w:p w14:paraId="32A836C8" w14:textId="159199CC"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A55DB"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401-3</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10CCA7CA"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Licença parental</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164D9793"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9BC95CE"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2,5</w:t>
            </w:r>
          </w:p>
        </w:tc>
      </w:tr>
      <w:tr w:rsidR="00F20AD7" w:rsidRPr="00F20AD7" w14:paraId="77193AF0" w14:textId="77777777" w:rsidTr="00F20AD7">
        <w:trPr>
          <w:trHeight w:val="960"/>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2F25EDA5"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Gestão das Relações Trabalhistas</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D1AA0CA"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402-1</w:t>
            </w:r>
          </w:p>
        </w:tc>
        <w:tc>
          <w:tcPr>
            <w:tcW w:w="2940" w:type="dxa"/>
            <w:tcBorders>
              <w:top w:val="nil"/>
              <w:left w:val="nil"/>
              <w:bottom w:val="single" w:sz="4" w:space="0" w:color="auto"/>
              <w:right w:val="single" w:sz="4" w:space="0" w:color="auto"/>
            </w:tcBorders>
            <w:shd w:val="clear" w:color="auto" w:fill="auto"/>
            <w:vAlign w:val="center"/>
            <w:hideMark/>
          </w:tcPr>
          <w:p w14:paraId="61975B05"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Prazos mínimos de aviso prévio em relação a mudanças operacionais</w:t>
            </w:r>
          </w:p>
        </w:tc>
        <w:tc>
          <w:tcPr>
            <w:tcW w:w="1668" w:type="dxa"/>
            <w:tcBorders>
              <w:top w:val="nil"/>
              <w:left w:val="nil"/>
              <w:bottom w:val="single" w:sz="4" w:space="0" w:color="auto"/>
              <w:right w:val="single" w:sz="4" w:space="0" w:color="auto"/>
            </w:tcBorders>
            <w:shd w:val="clear" w:color="auto" w:fill="auto"/>
            <w:vAlign w:val="center"/>
            <w:hideMark/>
          </w:tcPr>
          <w:p w14:paraId="068BAF67"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4,5</w:t>
            </w:r>
          </w:p>
        </w:tc>
        <w:tc>
          <w:tcPr>
            <w:tcW w:w="1460" w:type="dxa"/>
            <w:tcBorders>
              <w:top w:val="nil"/>
              <w:left w:val="nil"/>
              <w:bottom w:val="single" w:sz="4" w:space="0" w:color="auto"/>
              <w:right w:val="single" w:sz="4" w:space="0" w:color="auto"/>
            </w:tcBorders>
            <w:shd w:val="clear" w:color="auto" w:fill="auto"/>
            <w:noWrap/>
            <w:vAlign w:val="center"/>
            <w:hideMark/>
          </w:tcPr>
          <w:p w14:paraId="37D4BB11"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3,5</w:t>
            </w:r>
          </w:p>
        </w:tc>
      </w:tr>
      <w:tr w:rsidR="00F20AD7" w:rsidRPr="00F20AD7" w14:paraId="7A800E9F" w14:textId="77777777" w:rsidTr="00F20AD7">
        <w:trPr>
          <w:trHeight w:val="600"/>
        </w:trPr>
        <w:tc>
          <w:tcPr>
            <w:tcW w:w="1436" w:type="dxa"/>
            <w:vMerge w:val="restart"/>
            <w:tcBorders>
              <w:top w:val="single" w:sz="4" w:space="0" w:color="auto"/>
              <w:left w:val="single" w:sz="4" w:space="0" w:color="auto"/>
              <w:right w:val="single" w:sz="4" w:space="0" w:color="auto"/>
            </w:tcBorders>
            <w:shd w:val="clear" w:color="auto" w:fill="auto"/>
            <w:vAlign w:val="center"/>
            <w:hideMark/>
          </w:tcPr>
          <w:p w14:paraId="55E2F3D3"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Diversidade e Igualdade de Oportunidades</w:t>
            </w:r>
          </w:p>
          <w:p w14:paraId="1DF6F922" w14:textId="4B49FA89"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04F37"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405-1</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3AABBDDC"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Diversidade de órgãos de governança e funcionários</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699F6255"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28C46AD"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2</w:t>
            </w:r>
          </w:p>
        </w:tc>
      </w:tr>
      <w:tr w:rsidR="00F20AD7" w:rsidRPr="00F20AD7" w14:paraId="3CAB8DB5" w14:textId="77777777" w:rsidTr="00F20AD7">
        <w:trPr>
          <w:trHeight w:val="615"/>
        </w:trPr>
        <w:tc>
          <w:tcPr>
            <w:tcW w:w="1436" w:type="dxa"/>
            <w:vMerge/>
            <w:tcBorders>
              <w:left w:val="single" w:sz="4" w:space="0" w:color="auto"/>
              <w:bottom w:val="single" w:sz="4" w:space="0" w:color="auto"/>
              <w:right w:val="single" w:sz="4" w:space="0" w:color="auto"/>
            </w:tcBorders>
            <w:shd w:val="clear" w:color="auto" w:fill="auto"/>
            <w:vAlign w:val="center"/>
            <w:hideMark/>
          </w:tcPr>
          <w:p w14:paraId="1DBDD74F" w14:textId="69D61B51"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6F9BAC2"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405-2</w:t>
            </w:r>
          </w:p>
        </w:tc>
        <w:tc>
          <w:tcPr>
            <w:tcW w:w="2940" w:type="dxa"/>
            <w:tcBorders>
              <w:top w:val="nil"/>
              <w:left w:val="nil"/>
              <w:bottom w:val="single" w:sz="4" w:space="0" w:color="auto"/>
              <w:right w:val="single" w:sz="4" w:space="0" w:color="auto"/>
            </w:tcBorders>
            <w:shd w:val="clear" w:color="auto" w:fill="auto"/>
            <w:vAlign w:val="center"/>
            <w:hideMark/>
          </w:tcPr>
          <w:p w14:paraId="057E5BC7"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Taxa de salário básico e remuneração de mulheres para homens</w:t>
            </w:r>
          </w:p>
        </w:tc>
        <w:tc>
          <w:tcPr>
            <w:tcW w:w="1668" w:type="dxa"/>
            <w:tcBorders>
              <w:top w:val="nil"/>
              <w:left w:val="nil"/>
              <w:bottom w:val="single" w:sz="4" w:space="0" w:color="auto"/>
              <w:right w:val="single" w:sz="4" w:space="0" w:color="auto"/>
            </w:tcBorders>
            <w:shd w:val="clear" w:color="auto" w:fill="auto"/>
            <w:vAlign w:val="center"/>
            <w:hideMark/>
          </w:tcPr>
          <w:p w14:paraId="5B9396B7"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w:t>
            </w:r>
          </w:p>
        </w:tc>
        <w:tc>
          <w:tcPr>
            <w:tcW w:w="1460" w:type="dxa"/>
            <w:tcBorders>
              <w:top w:val="nil"/>
              <w:left w:val="nil"/>
              <w:bottom w:val="single" w:sz="4" w:space="0" w:color="auto"/>
              <w:right w:val="single" w:sz="4" w:space="0" w:color="auto"/>
            </w:tcBorders>
            <w:shd w:val="clear" w:color="auto" w:fill="auto"/>
            <w:noWrap/>
            <w:vAlign w:val="center"/>
            <w:hideMark/>
          </w:tcPr>
          <w:p w14:paraId="4809D7E0"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2</w:t>
            </w:r>
          </w:p>
        </w:tc>
      </w:tr>
      <w:tr w:rsidR="00F20AD7" w:rsidRPr="00F20AD7" w14:paraId="184DE311" w14:textId="77777777" w:rsidTr="00F20AD7">
        <w:trPr>
          <w:trHeight w:val="91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830B9"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Trabalho Infantil</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1E61F"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408-1</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038626F4"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Operações e fornecedores com risco significativo de ocorrência de trabalho infantil</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4C912380"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70BBC90"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3</w:t>
            </w:r>
          </w:p>
        </w:tc>
      </w:tr>
      <w:tr w:rsidR="00F20AD7" w:rsidRPr="00F20AD7" w14:paraId="4794FD4B" w14:textId="77777777" w:rsidTr="00F20AD7">
        <w:trPr>
          <w:trHeight w:val="960"/>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F0CB54D"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Trabalho Forçado ou Compulsório</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59438AB"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409-1</w:t>
            </w:r>
          </w:p>
        </w:tc>
        <w:tc>
          <w:tcPr>
            <w:tcW w:w="2940" w:type="dxa"/>
            <w:tcBorders>
              <w:top w:val="nil"/>
              <w:left w:val="nil"/>
              <w:bottom w:val="single" w:sz="4" w:space="0" w:color="auto"/>
              <w:right w:val="single" w:sz="4" w:space="0" w:color="auto"/>
            </w:tcBorders>
            <w:shd w:val="clear" w:color="auto" w:fill="auto"/>
            <w:vAlign w:val="center"/>
            <w:hideMark/>
          </w:tcPr>
          <w:p w14:paraId="424ECEF7"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Operações e fornecedores em risco significativo de ocorrência de trabalho forçado ou compulsório</w:t>
            </w:r>
          </w:p>
        </w:tc>
        <w:tc>
          <w:tcPr>
            <w:tcW w:w="1668" w:type="dxa"/>
            <w:tcBorders>
              <w:top w:val="nil"/>
              <w:left w:val="nil"/>
              <w:bottom w:val="single" w:sz="4" w:space="0" w:color="auto"/>
              <w:right w:val="single" w:sz="4" w:space="0" w:color="auto"/>
            </w:tcBorders>
            <w:shd w:val="clear" w:color="auto" w:fill="auto"/>
            <w:vAlign w:val="center"/>
            <w:hideMark/>
          </w:tcPr>
          <w:p w14:paraId="6466A136"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4,5</w:t>
            </w:r>
          </w:p>
        </w:tc>
        <w:tc>
          <w:tcPr>
            <w:tcW w:w="1460" w:type="dxa"/>
            <w:tcBorders>
              <w:top w:val="nil"/>
              <w:left w:val="nil"/>
              <w:bottom w:val="single" w:sz="4" w:space="0" w:color="auto"/>
              <w:right w:val="single" w:sz="4" w:space="0" w:color="auto"/>
            </w:tcBorders>
            <w:shd w:val="clear" w:color="auto" w:fill="auto"/>
            <w:noWrap/>
            <w:vAlign w:val="center"/>
            <w:hideMark/>
          </w:tcPr>
          <w:p w14:paraId="50437965"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3</w:t>
            </w:r>
          </w:p>
        </w:tc>
      </w:tr>
      <w:tr w:rsidR="00F20AD7" w:rsidRPr="00F20AD7" w14:paraId="734560AA" w14:textId="77777777" w:rsidTr="00F20AD7">
        <w:trPr>
          <w:trHeight w:val="645"/>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9C60BC6"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Práticas de segurança</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DBE897C"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410-1</w:t>
            </w:r>
          </w:p>
        </w:tc>
        <w:tc>
          <w:tcPr>
            <w:tcW w:w="2940" w:type="dxa"/>
            <w:tcBorders>
              <w:top w:val="nil"/>
              <w:left w:val="nil"/>
              <w:bottom w:val="single" w:sz="4" w:space="0" w:color="auto"/>
              <w:right w:val="single" w:sz="4" w:space="0" w:color="auto"/>
            </w:tcBorders>
            <w:shd w:val="clear" w:color="auto" w:fill="auto"/>
            <w:vAlign w:val="center"/>
            <w:hideMark/>
          </w:tcPr>
          <w:p w14:paraId="11AD6318"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Pessoal de segurança treinado em políticas ou procedimentos de direitos humanos</w:t>
            </w:r>
          </w:p>
        </w:tc>
        <w:tc>
          <w:tcPr>
            <w:tcW w:w="1668" w:type="dxa"/>
            <w:tcBorders>
              <w:top w:val="nil"/>
              <w:left w:val="nil"/>
              <w:bottom w:val="single" w:sz="4" w:space="0" w:color="auto"/>
              <w:right w:val="single" w:sz="4" w:space="0" w:color="auto"/>
            </w:tcBorders>
            <w:shd w:val="clear" w:color="auto" w:fill="auto"/>
            <w:vAlign w:val="center"/>
            <w:hideMark/>
          </w:tcPr>
          <w:p w14:paraId="43BF4BBD"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w:t>
            </w:r>
          </w:p>
        </w:tc>
        <w:tc>
          <w:tcPr>
            <w:tcW w:w="1460" w:type="dxa"/>
            <w:tcBorders>
              <w:top w:val="nil"/>
              <w:left w:val="nil"/>
              <w:bottom w:val="single" w:sz="4" w:space="0" w:color="auto"/>
              <w:right w:val="single" w:sz="4" w:space="0" w:color="auto"/>
            </w:tcBorders>
            <w:shd w:val="clear" w:color="auto" w:fill="auto"/>
            <w:noWrap/>
            <w:vAlign w:val="center"/>
            <w:hideMark/>
          </w:tcPr>
          <w:p w14:paraId="1CC95818"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2</w:t>
            </w:r>
          </w:p>
        </w:tc>
      </w:tr>
      <w:tr w:rsidR="00F20AD7" w:rsidRPr="00F20AD7" w14:paraId="3B083A90" w14:textId="77777777" w:rsidTr="00F20AD7">
        <w:trPr>
          <w:trHeight w:val="600"/>
        </w:trPr>
        <w:tc>
          <w:tcPr>
            <w:tcW w:w="1436" w:type="dxa"/>
            <w:tcBorders>
              <w:top w:val="single" w:sz="4" w:space="0" w:color="auto"/>
              <w:left w:val="single" w:sz="4" w:space="0" w:color="auto"/>
              <w:bottom w:val="nil"/>
              <w:right w:val="single" w:sz="4" w:space="0" w:color="auto"/>
            </w:tcBorders>
            <w:shd w:val="clear" w:color="auto" w:fill="auto"/>
            <w:vAlign w:val="center"/>
            <w:hideMark/>
          </w:tcPr>
          <w:p w14:paraId="479A52B1"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Comunidades locais</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330BD"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413-1</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26516D5F"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Operações com envolvimento da comunidade local, avaliações de impacto e programas de desenvolvimento</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1CDD9D85"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F0C025"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3,5</w:t>
            </w:r>
          </w:p>
        </w:tc>
      </w:tr>
      <w:tr w:rsidR="00F20AD7" w:rsidRPr="00F20AD7" w14:paraId="1FBC9B0D" w14:textId="77777777" w:rsidTr="00F20AD7">
        <w:trPr>
          <w:trHeight w:val="900"/>
        </w:trPr>
        <w:tc>
          <w:tcPr>
            <w:tcW w:w="1436" w:type="dxa"/>
            <w:vMerge w:val="restart"/>
            <w:tcBorders>
              <w:top w:val="single" w:sz="4" w:space="0" w:color="auto"/>
              <w:left w:val="single" w:sz="4" w:space="0" w:color="auto"/>
              <w:right w:val="single" w:sz="4" w:space="0" w:color="auto"/>
            </w:tcBorders>
            <w:shd w:val="clear" w:color="auto" w:fill="auto"/>
            <w:vAlign w:val="center"/>
            <w:hideMark/>
          </w:tcPr>
          <w:p w14:paraId="557B040D" w14:textId="77777777" w:rsidR="00F20AD7" w:rsidRPr="00F20AD7" w:rsidRDefault="00F20AD7" w:rsidP="00F20AD7">
            <w:pPr>
              <w:spacing w:after="0" w:line="240" w:lineRule="auto"/>
              <w:jc w:val="center"/>
              <w:rPr>
                <w:rFonts w:ascii="Times New Roman" w:eastAsia="Times New Roman" w:hAnsi="Times New Roman" w:cs="Times New Roman"/>
                <w:lang w:eastAsia="pt-BR"/>
              </w:rPr>
            </w:pPr>
            <w:r w:rsidRPr="00F20AD7">
              <w:rPr>
                <w:rFonts w:ascii="Times New Roman" w:eastAsia="Times New Roman" w:hAnsi="Times New Roman" w:cs="Times New Roman"/>
                <w:lang w:eastAsia="pt-BR"/>
              </w:rPr>
              <w:t>Saúde e Segurança do Cliente</w:t>
            </w:r>
          </w:p>
          <w:p w14:paraId="45BB682D" w14:textId="701D3F85" w:rsidR="00F20AD7" w:rsidRPr="00F20AD7" w:rsidRDefault="00F20AD7" w:rsidP="00F20AD7">
            <w:pPr>
              <w:spacing w:after="0" w:line="240" w:lineRule="auto"/>
              <w:jc w:val="center"/>
              <w:rPr>
                <w:rFonts w:ascii="Times New Roman" w:eastAsia="Times New Roman" w:hAnsi="Times New Roman" w:cs="Times New Roman"/>
                <w:lang w:eastAsia="pt-BR"/>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85339"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416-1</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0BBD997C"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Avaliação dos impactos na saúde e segurança de categorias de produtos e serviços</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03B5F37B"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64A6975"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4,5</w:t>
            </w:r>
          </w:p>
        </w:tc>
      </w:tr>
      <w:tr w:rsidR="00F20AD7" w:rsidRPr="00F20AD7" w14:paraId="5550182A" w14:textId="77777777" w:rsidTr="00F20AD7">
        <w:trPr>
          <w:trHeight w:val="915"/>
        </w:trPr>
        <w:tc>
          <w:tcPr>
            <w:tcW w:w="1436" w:type="dxa"/>
            <w:vMerge/>
            <w:tcBorders>
              <w:left w:val="single" w:sz="4" w:space="0" w:color="auto"/>
              <w:bottom w:val="single" w:sz="4" w:space="0" w:color="auto"/>
              <w:right w:val="single" w:sz="4" w:space="0" w:color="auto"/>
            </w:tcBorders>
            <w:shd w:val="clear" w:color="auto" w:fill="auto"/>
            <w:vAlign w:val="center"/>
            <w:hideMark/>
          </w:tcPr>
          <w:p w14:paraId="21950AC8" w14:textId="15AAD35B" w:rsidR="00F20AD7" w:rsidRPr="00F20AD7" w:rsidRDefault="00F20AD7" w:rsidP="00F20AD7">
            <w:pPr>
              <w:spacing w:after="0" w:line="240" w:lineRule="auto"/>
              <w:jc w:val="center"/>
              <w:rPr>
                <w:rFonts w:ascii="Times New Roman" w:eastAsia="Times New Roman" w:hAnsi="Times New Roman" w:cs="Times New Roman"/>
                <w:lang w:eastAsia="pt-BR"/>
              </w:rPr>
            </w:pP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DCB51F3"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416-2</w:t>
            </w:r>
          </w:p>
        </w:tc>
        <w:tc>
          <w:tcPr>
            <w:tcW w:w="2940" w:type="dxa"/>
            <w:tcBorders>
              <w:top w:val="nil"/>
              <w:left w:val="nil"/>
              <w:bottom w:val="single" w:sz="4" w:space="0" w:color="auto"/>
              <w:right w:val="single" w:sz="4" w:space="0" w:color="auto"/>
            </w:tcBorders>
            <w:shd w:val="clear" w:color="auto" w:fill="auto"/>
            <w:vAlign w:val="center"/>
            <w:hideMark/>
          </w:tcPr>
          <w:p w14:paraId="2C13D96E"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Incidentes de não conformidade relativos a impactos na saúde e segurança de produtos e serviços</w:t>
            </w:r>
          </w:p>
        </w:tc>
        <w:tc>
          <w:tcPr>
            <w:tcW w:w="1668" w:type="dxa"/>
            <w:tcBorders>
              <w:top w:val="nil"/>
              <w:left w:val="nil"/>
              <w:bottom w:val="single" w:sz="4" w:space="0" w:color="auto"/>
              <w:right w:val="single" w:sz="4" w:space="0" w:color="auto"/>
            </w:tcBorders>
            <w:shd w:val="clear" w:color="auto" w:fill="auto"/>
            <w:vAlign w:val="center"/>
            <w:hideMark/>
          </w:tcPr>
          <w:p w14:paraId="10891812"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5</w:t>
            </w:r>
          </w:p>
        </w:tc>
        <w:tc>
          <w:tcPr>
            <w:tcW w:w="1460" w:type="dxa"/>
            <w:tcBorders>
              <w:top w:val="nil"/>
              <w:left w:val="nil"/>
              <w:bottom w:val="single" w:sz="4" w:space="0" w:color="auto"/>
              <w:right w:val="single" w:sz="4" w:space="0" w:color="auto"/>
            </w:tcBorders>
            <w:shd w:val="clear" w:color="auto" w:fill="auto"/>
            <w:noWrap/>
            <w:vAlign w:val="center"/>
            <w:hideMark/>
          </w:tcPr>
          <w:p w14:paraId="766D2C79"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5</w:t>
            </w:r>
          </w:p>
        </w:tc>
      </w:tr>
      <w:tr w:rsidR="00F20AD7" w:rsidRPr="00F20AD7" w14:paraId="48F72134" w14:textId="77777777" w:rsidTr="00F20AD7">
        <w:trPr>
          <w:trHeight w:val="60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BE6FC" w14:textId="2D1AC4C8" w:rsidR="00F20AD7" w:rsidRPr="00F20AD7" w:rsidRDefault="00F20AD7" w:rsidP="00F20AD7">
            <w:pPr>
              <w:spacing w:after="0" w:line="240" w:lineRule="auto"/>
              <w:jc w:val="center"/>
              <w:rPr>
                <w:rFonts w:ascii="Times New Roman" w:eastAsia="Times New Roman" w:hAnsi="Times New Roman" w:cs="Times New Roman"/>
                <w:bCs/>
                <w:lang w:eastAsia="pt-BR"/>
              </w:rPr>
            </w:pPr>
            <w:r w:rsidRPr="00F20AD7">
              <w:rPr>
                <w:rFonts w:ascii="Times New Roman" w:eastAsia="Times New Roman" w:hAnsi="Times New Roman" w:cs="Times New Roman"/>
                <w:bCs/>
                <w:lang w:eastAsia="pt-BR"/>
              </w:rPr>
              <w:t>Marketing e Rotulagem</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948AF"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417-3</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46863438"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Incidentes de não conformidade relativos a comunicações de marketing</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258E2F99"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AC4BF98" w14:textId="77777777" w:rsidR="00F20AD7" w:rsidRPr="00F20AD7" w:rsidRDefault="00F20AD7" w:rsidP="00F20AD7">
            <w:pPr>
              <w:spacing w:after="0" w:line="240" w:lineRule="auto"/>
              <w:jc w:val="center"/>
              <w:rPr>
                <w:rFonts w:ascii="Times New Roman" w:eastAsia="Times New Roman" w:hAnsi="Times New Roman" w:cs="Times New Roman"/>
                <w:color w:val="000000"/>
                <w:lang w:eastAsia="pt-BR"/>
              </w:rPr>
            </w:pPr>
            <w:r w:rsidRPr="00F20AD7">
              <w:rPr>
                <w:rFonts w:ascii="Times New Roman" w:eastAsia="Times New Roman" w:hAnsi="Times New Roman" w:cs="Times New Roman"/>
                <w:color w:val="000000"/>
                <w:lang w:eastAsia="pt-BR"/>
              </w:rPr>
              <w:t>4,5</w:t>
            </w:r>
          </w:p>
        </w:tc>
      </w:tr>
    </w:tbl>
    <w:p w14:paraId="6CFB6FF8" w14:textId="657B2751" w:rsidR="00362745" w:rsidRDefault="00362745" w:rsidP="00436224">
      <w:pPr>
        <w:rPr>
          <w:rFonts w:ascii="Times New Roman" w:hAnsi="Times New Roman" w:cs="Times New Roman"/>
          <w:sz w:val="24"/>
          <w:szCs w:val="24"/>
        </w:rPr>
      </w:pPr>
      <w:r>
        <w:rPr>
          <w:rFonts w:ascii="Times New Roman" w:hAnsi="Times New Roman" w:cs="Times New Roman"/>
          <w:sz w:val="24"/>
          <w:szCs w:val="24"/>
        </w:rPr>
        <w:t>Fonte: Autor (2019).</w:t>
      </w:r>
    </w:p>
    <w:p w14:paraId="40A03035" w14:textId="5C663CAA" w:rsidR="00362745" w:rsidRDefault="00362745" w:rsidP="00436224">
      <w:pPr>
        <w:rPr>
          <w:rFonts w:ascii="Times New Roman" w:hAnsi="Times New Roman" w:cs="Times New Roman"/>
          <w:sz w:val="24"/>
          <w:szCs w:val="24"/>
        </w:rPr>
      </w:pPr>
    </w:p>
    <w:p w14:paraId="379AE816" w14:textId="386E83AE" w:rsidR="002E467B" w:rsidRDefault="002E467B" w:rsidP="00436224">
      <w:pPr>
        <w:rPr>
          <w:rFonts w:ascii="Times New Roman" w:hAnsi="Times New Roman" w:cs="Times New Roman"/>
          <w:sz w:val="24"/>
          <w:szCs w:val="24"/>
        </w:rPr>
      </w:pPr>
      <w:r w:rsidRPr="002E467B">
        <w:rPr>
          <w:rFonts w:ascii="Times New Roman" w:hAnsi="Times New Roman" w:cs="Times New Roman"/>
          <w:sz w:val="24"/>
          <w:szCs w:val="24"/>
        </w:rPr>
        <w:t xml:space="preserve">Excetuando-se os indicadores relacionados à saúde e segurança ocupacional e os que envolvem os clientes da empresa, que demonstraram tanto ser considerados importantes como exercer grande influência nas tomadas de decisões. Percebeu-se, também, que alguns dos indicadores, por falta de conhecimento de sua contribuição social, não são </w:t>
      </w:r>
      <w:r w:rsidRPr="002E467B">
        <w:rPr>
          <w:rFonts w:ascii="Times New Roman" w:hAnsi="Times New Roman" w:cs="Times New Roman"/>
          <w:sz w:val="24"/>
          <w:szCs w:val="24"/>
        </w:rPr>
        <w:lastRenderedPageBreak/>
        <w:t>monitoradas e comunicadas adequadamente. Destacaram-se os indicadores relativos a não discriminação, ao uso de trabalho infantil e trabalho forçado ou compulsório e a diversidade e igualdade de oportunidades, que apesar da importância reconhecida, são poucos influentes nas decisões. Todavia, esses indicadores foram classificados como “obtenção com pouco esforço”.</w:t>
      </w:r>
    </w:p>
    <w:p w14:paraId="4CC66870" w14:textId="11473927" w:rsidR="002E467B" w:rsidRDefault="002E467B" w:rsidP="00436224">
      <w:pPr>
        <w:rPr>
          <w:rFonts w:ascii="Times New Roman" w:hAnsi="Times New Roman" w:cs="Times New Roman"/>
          <w:sz w:val="24"/>
          <w:szCs w:val="24"/>
        </w:rPr>
      </w:pPr>
    </w:p>
    <w:p w14:paraId="72A15F5C" w14:textId="77777777" w:rsidR="002E467B" w:rsidRDefault="002E467B" w:rsidP="00436224">
      <w:pPr>
        <w:rPr>
          <w:rFonts w:ascii="Times New Roman" w:hAnsi="Times New Roman" w:cs="Times New Roman"/>
          <w:b/>
          <w:sz w:val="24"/>
          <w:szCs w:val="24"/>
        </w:rPr>
      </w:pPr>
      <w:r>
        <w:rPr>
          <w:rFonts w:ascii="Times New Roman" w:hAnsi="Times New Roman" w:cs="Times New Roman"/>
          <w:b/>
          <w:sz w:val="24"/>
          <w:szCs w:val="24"/>
        </w:rPr>
        <w:t>CONCLUSÃO</w:t>
      </w:r>
    </w:p>
    <w:p w14:paraId="26BCBD06" w14:textId="77777777" w:rsidR="00E3173E" w:rsidRPr="00E3173E" w:rsidRDefault="00E3173E" w:rsidP="00E3173E">
      <w:pPr>
        <w:rPr>
          <w:rFonts w:ascii="Times New Roman" w:hAnsi="Times New Roman" w:cs="Times New Roman"/>
          <w:sz w:val="24"/>
          <w:szCs w:val="24"/>
        </w:rPr>
      </w:pPr>
      <w:r w:rsidRPr="00E3173E">
        <w:rPr>
          <w:rFonts w:ascii="Times New Roman" w:hAnsi="Times New Roman" w:cs="Times New Roman"/>
          <w:sz w:val="24"/>
          <w:szCs w:val="24"/>
        </w:rPr>
        <w:t>Apesar do tardio interesse pelo aspecto social da sustentabilidade, percebe-se que, através de uma revisão na literatura, encontra-se vários autores preocupados com tal questão. Nas corporações, no entanto, esse conceito ainda não está devidamente difundido, ficando limitado a poucos tópicos, de acordo com a empresa.</w:t>
      </w:r>
    </w:p>
    <w:p w14:paraId="3B6E7735" w14:textId="77777777" w:rsidR="00E3173E" w:rsidRPr="00E3173E" w:rsidRDefault="00E3173E" w:rsidP="00E3173E">
      <w:pPr>
        <w:rPr>
          <w:rFonts w:ascii="Times New Roman" w:hAnsi="Times New Roman" w:cs="Times New Roman"/>
          <w:sz w:val="24"/>
          <w:szCs w:val="24"/>
        </w:rPr>
      </w:pPr>
      <w:r w:rsidRPr="00E3173E">
        <w:rPr>
          <w:rFonts w:ascii="Times New Roman" w:hAnsi="Times New Roman" w:cs="Times New Roman"/>
          <w:sz w:val="24"/>
          <w:szCs w:val="24"/>
        </w:rPr>
        <w:t>Devido à falta de publicações das empresas locais acerca dos seus respectivos relatórios de sustentabilidade, não se podia ter uma noção de quanto esses conceitos, difundidos no mundo acadêmico, são colocados em prática, e levados em consideração, pelas construtoras que atuam na RMR.</w:t>
      </w:r>
    </w:p>
    <w:p w14:paraId="094AED67" w14:textId="77777777" w:rsidR="00E3173E" w:rsidRPr="00E3173E" w:rsidRDefault="00E3173E" w:rsidP="00E3173E">
      <w:pPr>
        <w:rPr>
          <w:rFonts w:ascii="Times New Roman" w:hAnsi="Times New Roman" w:cs="Times New Roman"/>
          <w:sz w:val="24"/>
          <w:szCs w:val="24"/>
        </w:rPr>
      </w:pPr>
      <w:r w:rsidRPr="00E3173E">
        <w:rPr>
          <w:rFonts w:ascii="Times New Roman" w:hAnsi="Times New Roman" w:cs="Times New Roman"/>
          <w:sz w:val="24"/>
          <w:szCs w:val="24"/>
        </w:rPr>
        <w:t>Este trabalho propicia, portanto, um panorama da situação atual das empresas acerca da sustentabilidade social, na mesma medida que apresenta uma grande quantidade de tópicos relacionados ao assunto, que não era de conhecimento dessas empresas. Sendo assim, além de identificar quais indicadores já são utilizados pelas empresas, este trabalho permitiu identificar uma série de potenciais indicadores de sustentabilidade social para serem aplicados no contexto local, de acordo com seu nível de esforço para coleta.</w:t>
      </w:r>
    </w:p>
    <w:p w14:paraId="106EBB4F" w14:textId="77777777" w:rsidR="00E3173E" w:rsidRPr="00E3173E" w:rsidRDefault="00E3173E" w:rsidP="00E3173E">
      <w:pPr>
        <w:rPr>
          <w:rFonts w:ascii="Times New Roman" w:hAnsi="Times New Roman" w:cs="Times New Roman"/>
          <w:sz w:val="24"/>
          <w:szCs w:val="24"/>
        </w:rPr>
      </w:pPr>
      <w:r w:rsidRPr="00E3173E">
        <w:rPr>
          <w:rFonts w:ascii="Times New Roman" w:hAnsi="Times New Roman" w:cs="Times New Roman"/>
          <w:sz w:val="24"/>
          <w:szCs w:val="24"/>
        </w:rPr>
        <w:t>Percebeu-se que a inclusão de indicadores que levam em consideração a segurança e saúde ocupacional e o cliente (usuário final) já eram do interesse das empresas realizarem o controle. No entanto, muitos outros aspectos relacionados à sustentabilidade social são negligenciados pela empresa.</w:t>
      </w:r>
    </w:p>
    <w:p w14:paraId="33D441FC" w14:textId="33EDE34D" w:rsidR="002E467B" w:rsidRDefault="00044436" w:rsidP="002E467B">
      <w:pPr>
        <w:rPr>
          <w:rFonts w:ascii="Times New Roman" w:hAnsi="Times New Roman" w:cs="Times New Roman"/>
          <w:sz w:val="24"/>
          <w:szCs w:val="24"/>
        </w:rPr>
      </w:pPr>
      <w:r>
        <w:rPr>
          <w:rFonts w:ascii="Times New Roman" w:hAnsi="Times New Roman" w:cs="Times New Roman"/>
          <w:sz w:val="24"/>
          <w:szCs w:val="24"/>
        </w:rPr>
        <w:t>S</w:t>
      </w:r>
      <w:r w:rsidR="002E467B" w:rsidRPr="002E467B">
        <w:rPr>
          <w:rFonts w:ascii="Times New Roman" w:hAnsi="Times New Roman" w:cs="Times New Roman"/>
          <w:sz w:val="24"/>
          <w:szCs w:val="24"/>
        </w:rPr>
        <w:t>endo assim,</w:t>
      </w:r>
      <w:r w:rsidR="002E467B">
        <w:rPr>
          <w:rFonts w:ascii="Times New Roman" w:hAnsi="Times New Roman" w:cs="Times New Roman"/>
          <w:sz w:val="24"/>
          <w:szCs w:val="24"/>
        </w:rPr>
        <w:t xml:space="preserve"> esta pesquisa identifica</w:t>
      </w:r>
      <w:r w:rsidR="002E467B" w:rsidRPr="002E467B">
        <w:rPr>
          <w:rFonts w:ascii="Times New Roman" w:hAnsi="Times New Roman" w:cs="Times New Roman"/>
          <w:sz w:val="24"/>
          <w:szCs w:val="24"/>
        </w:rPr>
        <w:t xml:space="preserve"> indicadores</w:t>
      </w:r>
      <w:r w:rsidR="002E467B">
        <w:rPr>
          <w:rFonts w:ascii="Times New Roman" w:hAnsi="Times New Roman" w:cs="Times New Roman"/>
          <w:sz w:val="24"/>
          <w:szCs w:val="24"/>
        </w:rPr>
        <w:t xml:space="preserve"> aplicáveis</w:t>
      </w:r>
      <w:r w:rsidR="002E467B" w:rsidRPr="002E467B">
        <w:rPr>
          <w:rFonts w:ascii="Times New Roman" w:hAnsi="Times New Roman" w:cs="Times New Roman"/>
          <w:sz w:val="24"/>
          <w:szCs w:val="24"/>
        </w:rPr>
        <w:t xml:space="preserve"> importantes, que com sua obtenção e controle, podem exercer maior influência nas tomadas de decisões, tornando as empresas mais comprometidas com o aspecto social da sustentabilidade.</w:t>
      </w:r>
    </w:p>
    <w:p w14:paraId="70F43A3C" w14:textId="71D3D03D" w:rsidR="002E467B" w:rsidRDefault="002E467B" w:rsidP="002E467B">
      <w:pPr>
        <w:rPr>
          <w:rFonts w:ascii="Times New Roman" w:hAnsi="Times New Roman" w:cs="Times New Roman"/>
          <w:sz w:val="24"/>
          <w:szCs w:val="24"/>
        </w:rPr>
      </w:pPr>
    </w:p>
    <w:p w14:paraId="2CE4DE6E" w14:textId="77777777" w:rsidR="00792348" w:rsidRDefault="00792348" w:rsidP="002E467B">
      <w:pPr>
        <w:rPr>
          <w:rFonts w:ascii="Times New Roman" w:hAnsi="Times New Roman" w:cs="Times New Roman"/>
          <w:b/>
          <w:sz w:val="24"/>
          <w:szCs w:val="24"/>
        </w:rPr>
      </w:pPr>
    </w:p>
    <w:p w14:paraId="646AF9E5" w14:textId="465F39E6" w:rsidR="002E467B" w:rsidRDefault="002E467B" w:rsidP="001730CC">
      <w:pPr>
        <w:jc w:val="center"/>
        <w:rPr>
          <w:rFonts w:ascii="Times New Roman" w:hAnsi="Times New Roman" w:cs="Times New Roman"/>
          <w:b/>
          <w:sz w:val="24"/>
          <w:szCs w:val="24"/>
        </w:rPr>
      </w:pPr>
      <w:r w:rsidRPr="005E03C0">
        <w:rPr>
          <w:rFonts w:ascii="Times New Roman" w:hAnsi="Times New Roman" w:cs="Times New Roman"/>
          <w:b/>
          <w:sz w:val="24"/>
          <w:szCs w:val="24"/>
        </w:rPr>
        <w:lastRenderedPageBreak/>
        <w:t>REFERÊNCIAS</w:t>
      </w:r>
    </w:p>
    <w:p w14:paraId="4E3D12C2" w14:textId="77777777" w:rsidR="00002BCF" w:rsidRPr="005E03C0" w:rsidRDefault="00002BCF" w:rsidP="001730CC">
      <w:pPr>
        <w:jc w:val="center"/>
        <w:rPr>
          <w:rFonts w:ascii="Times New Roman" w:hAnsi="Times New Roman" w:cs="Times New Roman"/>
          <w:b/>
          <w:sz w:val="24"/>
          <w:szCs w:val="24"/>
        </w:rPr>
      </w:pPr>
    </w:p>
    <w:p w14:paraId="395A9F85" w14:textId="2799F0E0" w:rsidR="001730CC" w:rsidRPr="00002BCF" w:rsidRDefault="002D2795" w:rsidP="00002BCF">
      <w:pPr>
        <w:widowControl w:val="0"/>
        <w:autoSpaceDE w:val="0"/>
        <w:autoSpaceDN w:val="0"/>
        <w:adjustRightInd w:val="0"/>
        <w:spacing w:line="240" w:lineRule="auto"/>
        <w:jc w:val="left"/>
        <w:rPr>
          <w:rFonts w:ascii="Times New Roman" w:hAnsi="Times New Roman" w:cs="Times New Roman"/>
          <w:noProof/>
          <w:sz w:val="24"/>
          <w:szCs w:val="24"/>
        </w:rPr>
      </w:pPr>
      <w:r w:rsidRPr="00002BCF">
        <w:rPr>
          <w:rFonts w:ascii="Times New Roman" w:hAnsi="Times New Roman" w:cs="Times New Roman"/>
          <w:sz w:val="24"/>
          <w:szCs w:val="24"/>
        </w:rPr>
        <w:fldChar w:fldCharType="begin" w:fldLock="1"/>
      </w:r>
      <w:r w:rsidRPr="00002BCF">
        <w:rPr>
          <w:rFonts w:ascii="Times New Roman" w:hAnsi="Times New Roman" w:cs="Times New Roman"/>
          <w:sz w:val="24"/>
          <w:szCs w:val="24"/>
          <w:lang w:val="en-US"/>
        </w:rPr>
        <w:instrText xml:space="preserve">ADDIN Mendeley Bibliography CSL_BIBLIOGRAPHY </w:instrText>
      </w:r>
      <w:r w:rsidRPr="00002BCF">
        <w:rPr>
          <w:rFonts w:ascii="Times New Roman" w:hAnsi="Times New Roman" w:cs="Times New Roman"/>
          <w:sz w:val="24"/>
          <w:szCs w:val="24"/>
        </w:rPr>
        <w:fldChar w:fldCharType="separate"/>
      </w:r>
      <w:r w:rsidR="001730CC" w:rsidRPr="00002BCF">
        <w:rPr>
          <w:rFonts w:ascii="Times New Roman" w:hAnsi="Times New Roman" w:cs="Times New Roman"/>
          <w:noProof/>
          <w:sz w:val="24"/>
          <w:szCs w:val="24"/>
        </w:rPr>
        <w:t>A</w:t>
      </w:r>
      <w:r w:rsidR="00002BCF" w:rsidRPr="00002BCF">
        <w:rPr>
          <w:rFonts w:ascii="Times New Roman" w:hAnsi="Times New Roman" w:cs="Times New Roman"/>
          <w:noProof/>
          <w:sz w:val="24"/>
          <w:szCs w:val="24"/>
        </w:rPr>
        <w:t>zmi</w:t>
      </w:r>
      <w:r w:rsidR="001730CC" w:rsidRPr="00002BCF">
        <w:rPr>
          <w:rFonts w:ascii="Times New Roman" w:hAnsi="Times New Roman" w:cs="Times New Roman"/>
          <w:noProof/>
          <w:sz w:val="24"/>
          <w:szCs w:val="24"/>
        </w:rPr>
        <w:t>, W. N. S. W. M. et al.</w:t>
      </w:r>
      <w:r w:rsidR="00E7031E">
        <w:rPr>
          <w:rFonts w:ascii="Times New Roman" w:hAnsi="Times New Roman" w:cs="Times New Roman"/>
          <w:noProof/>
          <w:sz w:val="24"/>
          <w:szCs w:val="24"/>
        </w:rPr>
        <w:t>, (2018).</w:t>
      </w:r>
      <w:r w:rsidR="001730CC" w:rsidRPr="00002BCF">
        <w:rPr>
          <w:rFonts w:ascii="Times New Roman" w:hAnsi="Times New Roman" w:cs="Times New Roman"/>
          <w:noProof/>
          <w:sz w:val="24"/>
          <w:szCs w:val="24"/>
        </w:rPr>
        <w:t xml:space="preserve"> Housing Developer’s Perspective os Social Sustainability. </w:t>
      </w:r>
      <w:r w:rsidR="001730CC" w:rsidRPr="00002BCF">
        <w:rPr>
          <w:rFonts w:ascii="Times New Roman" w:hAnsi="Times New Roman" w:cs="Times New Roman"/>
          <w:bCs/>
          <w:noProof/>
          <w:sz w:val="24"/>
          <w:szCs w:val="24"/>
        </w:rPr>
        <w:t>Malaysian Construction Research Journal</w:t>
      </w:r>
      <w:r w:rsidR="00E7031E">
        <w:rPr>
          <w:rFonts w:ascii="Times New Roman" w:hAnsi="Times New Roman" w:cs="Times New Roman"/>
          <w:noProof/>
          <w:sz w:val="24"/>
          <w:szCs w:val="24"/>
        </w:rPr>
        <w:t>, v. 3, n. Special Issue 1</w:t>
      </w:r>
      <w:r w:rsidR="001730CC" w:rsidRPr="00002BCF">
        <w:rPr>
          <w:rFonts w:ascii="Times New Roman" w:hAnsi="Times New Roman" w:cs="Times New Roman"/>
          <w:noProof/>
          <w:sz w:val="24"/>
          <w:szCs w:val="24"/>
        </w:rPr>
        <w:t xml:space="preserve">. </w:t>
      </w:r>
    </w:p>
    <w:p w14:paraId="64A687DB" w14:textId="30BBAA03" w:rsidR="001730CC" w:rsidRPr="00673438" w:rsidRDefault="001730CC"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B</w:t>
      </w:r>
      <w:r w:rsidR="00002BCF" w:rsidRPr="00673438">
        <w:rPr>
          <w:rFonts w:ascii="Times New Roman" w:hAnsi="Times New Roman" w:cs="Times New Roman"/>
          <w:noProof/>
          <w:sz w:val="24"/>
          <w:szCs w:val="24"/>
          <w:lang w:val="en-US"/>
        </w:rPr>
        <w:t>orrini</w:t>
      </w:r>
      <w:r w:rsidRPr="00673438">
        <w:rPr>
          <w:rFonts w:ascii="Times New Roman" w:hAnsi="Times New Roman" w:cs="Times New Roman"/>
          <w:noProof/>
          <w:sz w:val="24"/>
          <w:szCs w:val="24"/>
          <w:lang w:val="en-US"/>
        </w:rPr>
        <w:t>-F</w:t>
      </w:r>
      <w:r w:rsidR="00002BCF" w:rsidRPr="00673438">
        <w:rPr>
          <w:rFonts w:ascii="Times New Roman" w:hAnsi="Times New Roman" w:cs="Times New Roman"/>
          <w:noProof/>
          <w:sz w:val="24"/>
          <w:szCs w:val="24"/>
          <w:lang w:val="en-US"/>
        </w:rPr>
        <w:t>eyerabend</w:t>
      </w:r>
      <w:r w:rsidRPr="00673438">
        <w:rPr>
          <w:rFonts w:ascii="Times New Roman" w:hAnsi="Times New Roman" w:cs="Times New Roman"/>
          <w:noProof/>
          <w:sz w:val="24"/>
          <w:szCs w:val="24"/>
          <w:lang w:val="en-US"/>
        </w:rPr>
        <w:t>, G</w:t>
      </w:r>
      <w:r w:rsidR="00673438" w:rsidRPr="00673438">
        <w:rPr>
          <w:rFonts w:ascii="Times New Roman" w:hAnsi="Times New Roman" w:cs="Times New Roman"/>
          <w:noProof/>
          <w:sz w:val="24"/>
          <w:szCs w:val="24"/>
          <w:lang w:val="en-US"/>
        </w:rPr>
        <w:t xml:space="preserve">, </w:t>
      </w:r>
      <w:r w:rsidR="00673438">
        <w:rPr>
          <w:rFonts w:ascii="Times New Roman" w:hAnsi="Times New Roman" w:cs="Times New Roman"/>
          <w:noProof/>
          <w:sz w:val="24"/>
          <w:szCs w:val="24"/>
          <w:lang w:val="en-US"/>
        </w:rPr>
        <w:t>(1997).</w:t>
      </w:r>
      <w:r w:rsidRPr="00673438">
        <w:rPr>
          <w:rFonts w:ascii="Times New Roman" w:hAnsi="Times New Roman" w:cs="Times New Roman"/>
          <w:noProof/>
          <w:sz w:val="24"/>
          <w:szCs w:val="24"/>
          <w:lang w:val="en-US"/>
        </w:rPr>
        <w:t xml:space="preserve"> </w:t>
      </w:r>
      <w:r w:rsidRPr="00673438">
        <w:rPr>
          <w:rFonts w:ascii="Times New Roman" w:hAnsi="Times New Roman" w:cs="Times New Roman"/>
          <w:bCs/>
          <w:noProof/>
          <w:sz w:val="24"/>
          <w:szCs w:val="24"/>
          <w:lang w:val="en-US"/>
        </w:rPr>
        <w:t>Beyond Fences: Seeking Social Sustainability in Conservation</w:t>
      </w:r>
      <w:r w:rsidRPr="00673438">
        <w:rPr>
          <w:rFonts w:ascii="Times New Roman" w:hAnsi="Times New Roman" w:cs="Times New Roman"/>
          <w:noProof/>
          <w:sz w:val="24"/>
          <w:szCs w:val="24"/>
          <w:lang w:val="en-US"/>
        </w:rPr>
        <w:t>. v. 1</w:t>
      </w:r>
    </w:p>
    <w:p w14:paraId="63B6D4E4" w14:textId="16DB2309" w:rsidR="001730CC" w:rsidRPr="00673438" w:rsidRDefault="001730CC"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F</w:t>
      </w:r>
      <w:r w:rsidR="00002BCF" w:rsidRPr="00673438">
        <w:rPr>
          <w:rFonts w:ascii="Times New Roman" w:hAnsi="Times New Roman" w:cs="Times New Roman"/>
          <w:noProof/>
          <w:sz w:val="24"/>
          <w:szCs w:val="24"/>
          <w:lang w:val="en-US"/>
        </w:rPr>
        <w:t>reeman</w:t>
      </w:r>
      <w:r w:rsidRPr="00673438">
        <w:rPr>
          <w:rFonts w:ascii="Times New Roman" w:hAnsi="Times New Roman" w:cs="Times New Roman"/>
          <w:noProof/>
          <w:sz w:val="24"/>
          <w:szCs w:val="24"/>
          <w:lang w:val="en-US"/>
        </w:rPr>
        <w:t>, M.; B</w:t>
      </w:r>
      <w:r w:rsidR="00002BCF" w:rsidRPr="00673438">
        <w:rPr>
          <w:rFonts w:ascii="Times New Roman" w:hAnsi="Times New Roman" w:cs="Times New Roman"/>
          <w:noProof/>
          <w:sz w:val="24"/>
          <w:szCs w:val="24"/>
          <w:lang w:val="en-US"/>
        </w:rPr>
        <w:t>eale</w:t>
      </w:r>
      <w:r w:rsidR="00673438">
        <w:rPr>
          <w:rFonts w:ascii="Times New Roman" w:hAnsi="Times New Roman" w:cs="Times New Roman"/>
          <w:noProof/>
          <w:sz w:val="24"/>
          <w:szCs w:val="24"/>
          <w:lang w:val="en-US"/>
        </w:rPr>
        <w:t>, P, (1992).</w:t>
      </w:r>
      <w:r w:rsidRPr="00673438">
        <w:rPr>
          <w:rFonts w:ascii="Times New Roman" w:hAnsi="Times New Roman" w:cs="Times New Roman"/>
          <w:noProof/>
          <w:sz w:val="24"/>
          <w:szCs w:val="24"/>
          <w:lang w:val="en-US"/>
        </w:rPr>
        <w:t xml:space="preserve"> Measuring project success. </w:t>
      </w:r>
      <w:r w:rsidRPr="00673438">
        <w:rPr>
          <w:rFonts w:ascii="Times New Roman" w:hAnsi="Times New Roman" w:cs="Times New Roman"/>
          <w:bCs/>
          <w:noProof/>
          <w:sz w:val="24"/>
          <w:szCs w:val="24"/>
          <w:lang w:val="en-US"/>
        </w:rPr>
        <w:t>Project Management Journal</w:t>
      </w:r>
      <w:r w:rsidRPr="00673438">
        <w:rPr>
          <w:rFonts w:ascii="Times New Roman" w:hAnsi="Times New Roman" w:cs="Times New Roman"/>
          <w:noProof/>
          <w:sz w:val="24"/>
          <w:szCs w:val="24"/>
          <w:lang w:val="en-US"/>
        </w:rPr>
        <w:t xml:space="preserve">, v. 23, n. 1, p. 8–17. </w:t>
      </w:r>
    </w:p>
    <w:p w14:paraId="78122416" w14:textId="7BF4F3A9" w:rsidR="001730CC" w:rsidRPr="00673438" w:rsidRDefault="001730CC"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w:t>
      </w:r>
      <w:r w:rsidR="00002BCF" w:rsidRPr="00673438">
        <w:rPr>
          <w:rFonts w:ascii="Times New Roman" w:hAnsi="Times New Roman" w:cs="Times New Roman"/>
          <w:noProof/>
          <w:sz w:val="24"/>
          <w:szCs w:val="24"/>
          <w:lang w:val="en-US"/>
        </w:rPr>
        <w:t>il</w:t>
      </w:r>
      <w:r w:rsidR="00673438">
        <w:rPr>
          <w:rFonts w:ascii="Times New Roman" w:hAnsi="Times New Roman" w:cs="Times New Roman"/>
          <w:noProof/>
          <w:sz w:val="24"/>
          <w:szCs w:val="24"/>
          <w:lang w:val="en-US"/>
        </w:rPr>
        <w:t>, A. C, (2002).</w:t>
      </w:r>
      <w:r w:rsidRPr="00673438">
        <w:rPr>
          <w:rFonts w:ascii="Times New Roman" w:hAnsi="Times New Roman" w:cs="Times New Roman"/>
          <w:noProof/>
          <w:sz w:val="24"/>
          <w:szCs w:val="24"/>
          <w:lang w:val="en-US"/>
        </w:rPr>
        <w:t xml:space="preserve"> </w:t>
      </w:r>
      <w:r w:rsidRPr="00673438">
        <w:rPr>
          <w:rFonts w:ascii="Times New Roman" w:hAnsi="Times New Roman" w:cs="Times New Roman"/>
          <w:bCs/>
          <w:noProof/>
          <w:sz w:val="24"/>
          <w:szCs w:val="24"/>
          <w:lang w:val="en-US"/>
        </w:rPr>
        <w:t>Projetos de Pesquisa Como Elaborar</w:t>
      </w:r>
      <w:r w:rsidRPr="00673438">
        <w:rPr>
          <w:rFonts w:ascii="Times New Roman" w:hAnsi="Times New Roman" w:cs="Times New Roman"/>
          <w:noProof/>
          <w:sz w:val="24"/>
          <w:szCs w:val="24"/>
          <w:lang w:val="en-US"/>
        </w:rPr>
        <w:t xml:space="preserve">. </w:t>
      </w:r>
      <w:r w:rsidR="00673438">
        <w:rPr>
          <w:rFonts w:ascii="Times New Roman" w:hAnsi="Times New Roman" w:cs="Times New Roman"/>
          <w:noProof/>
          <w:sz w:val="24"/>
          <w:szCs w:val="24"/>
          <w:lang w:val="en-US"/>
        </w:rPr>
        <w:t>Editora Atlas</w:t>
      </w:r>
      <w:r w:rsidRPr="00673438">
        <w:rPr>
          <w:rFonts w:ascii="Times New Roman" w:hAnsi="Times New Roman" w:cs="Times New Roman"/>
          <w:noProof/>
          <w:sz w:val="24"/>
          <w:szCs w:val="24"/>
          <w:lang w:val="en-US"/>
        </w:rPr>
        <w:t xml:space="preserve">. </w:t>
      </w:r>
    </w:p>
    <w:p w14:paraId="6AFF6A75" w14:textId="065AF3FB" w:rsidR="001730CC" w:rsidRPr="00673438" w:rsidRDefault="001730CC"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w:t>
      </w:r>
      <w:r w:rsidR="00002BCF" w:rsidRPr="00673438">
        <w:rPr>
          <w:rFonts w:ascii="Times New Roman" w:hAnsi="Times New Roman" w:cs="Times New Roman"/>
          <w:noProof/>
          <w:sz w:val="24"/>
          <w:szCs w:val="24"/>
          <w:lang w:val="en-US"/>
        </w:rPr>
        <w:t>lobal</w:t>
      </w:r>
      <w:r w:rsidRPr="00673438">
        <w:rPr>
          <w:rFonts w:ascii="Times New Roman" w:hAnsi="Times New Roman" w:cs="Times New Roman"/>
          <w:noProof/>
          <w:sz w:val="24"/>
          <w:szCs w:val="24"/>
          <w:lang w:val="en-US"/>
        </w:rPr>
        <w:t xml:space="preserve"> R</w:t>
      </w:r>
      <w:r w:rsidR="00002BCF" w:rsidRPr="00673438">
        <w:rPr>
          <w:rFonts w:ascii="Times New Roman" w:hAnsi="Times New Roman" w:cs="Times New Roman"/>
          <w:noProof/>
          <w:sz w:val="24"/>
          <w:szCs w:val="24"/>
          <w:lang w:val="en-US"/>
        </w:rPr>
        <w:t>eporting</w:t>
      </w:r>
      <w:r w:rsidRPr="00673438">
        <w:rPr>
          <w:rFonts w:ascii="Times New Roman" w:hAnsi="Times New Roman" w:cs="Times New Roman"/>
          <w:noProof/>
          <w:sz w:val="24"/>
          <w:szCs w:val="24"/>
          <w:lang w:val="en-US"/>
        </w:rPr>
        <w:t xml:space="preserve"> I</w:t>
      </w:r>
      <w:r w:rsidR="00002BCF" w:rsidRPr="00673438">
        <w:rPr>
          <w:rFonts w:ascii="Times New Roman" w:hAnsi="Times New Roman" w:cs="Times New Roman"/>
          <w:noProof/>
          <w:sz w:val="24"/>
          <w:szCs w:val="24"/>
          <w:lang w:val="en-US"/>
        </w:rPr>
        <w:t>nitiative</w:t>
      </w:r>
      <w:r w:rsidR="00673438">
        <w:rPr>
          <w:rFonts w:ascii="Times New Roman" w:hAnsi="Times New Roman" w:cs="Times New Roman"/>
          <w:noProof/>
          <w:sz w:val="24"/>
          <w:szCs w:val="24"/>
          <w:lang w:val="en-US"/>
        </w:rPr>
        <w:t>, (2016a).</w:t>
      </w:r>
      <w:r w:rsidRPr="00673438">
        <w:rPr>
          <w:rFonts w:ascii="Times New Roman" w:hAnsi="Times New Roman" w:cs="Times New Roman"/>
          <w:noProof/>
          <w:sz w:val="24"/>
          <w:szCs w:val="24"/>
          <w:lang w:val="en-US"/>
        </w:rPr>
        <w:t xml:space="preserve"> GRI 401: Employment. </w:t>
      </w:r>
      <w:r w:rsidRPr="00673438">
        <w:rPr>
          <w:rFonts w:ascii="Times New Roman" w:hAnsi="Times New Roman" w:cs="Times New Roman"/>
          <w:bCs/>
          <w:noProof/>
          <w:sz w:val="24"/>
          <w:szCs w:val="24"/>
          <w:lang w:val="en-US"/>
        </w:rPr>
        <w:t>GRI Standards</w:t>
      </w:r>
      <w:r w:rsidRPr="00673438">
        <w:rPr>
          <w:rFonts w:ascii="Times New Roman" w:hAnsi="Times New Roman" w:cs="Times New Roman"/>
          <w:noProof/>
          <w:sz w:val="24"/>
          <w:szCs w:val="24"/>
          <w:lang w:val="en-US"/>
        </w:rPr>
        <w:t xml:space="preserve">. </w:t>
      </w:r>
    </w:p>
    <w:p w14:paraId="63A3FE1E" w14:textId="496A6561" w:rsidR="001730CC" w:rsidRPr="00673438" w:rsidRDefault="00002BCF"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Global Reporting Initiative</w:t>
      </w:r>
      <w:r w:rsidR="00673438">
        <w:rPr>
          <w:rFonts w:ascii="Times New Roman" w:hAnsi="Times New Roman" w:cs="Times New Roman"/>
          <w:noProof/>
          <w:sz w:val="24"/>
          <w:szCs w:val="24"/>
          <w:lang w:val="en-US"/>
        </w:rPr>
        <w:t>, (2016b).</w:t>
      </w:r>
      <w:r w:rsidR="001730CC" w:rsidRPr="00673438">
        <w:rPr>
          <w:rFonts w:ascii="Times New Roman" w:hAnsi="Times New Roman" w:cs="Times New Roman"/>
          <w:noProof/>
          <w:sz w:val="24"/>
          <w:szCs w:val="24"/>
          <w:lang w:val="en-US"/>
        </w:rPr>
        <w:t xml:space="preserve"> GRI 404: Training and education. </w:t>
      </w:r>
      <w:r w:rsidR="001730CC" w:rsidRPr="00673438">
        <w:rPr>
          <w:rFonts w:ascii="Times New Roman" w:hAnsi="Times New Roman" w:cs="Times New Roman"/>
          <w:bCs/>
          <w:noProof/>
          <w:sz w:val="24"/>
          <w:szCs w:val="24"/>
          <w:lang w:val="en-US"/>
        </w:rPr>
        <w:t>GRI Global</w:t>
      </w:r>
      <w:r w:rsidR="001730CC" w:rsidRPr="00673438">
        <w:rPr>
          <w:rFonts w:ascii="Times New Roman" w:hAnsi="Times New Roman" w:cs="Times New Roman"/>
          <w:noProof/>
          <w:sz w:val="24"/>
          <w:szCs w:val="24"/>
          <w:lang w:val="en-US"/>
        </w:rPr>
        <w:t xml:space="preserve">, v. GRI101, n. 1, p. 13. </w:t>
      </w:r>
    </w:p>
    <w:p w14:paraId="2558A93B" w14:textId="35884FCE" w:rsidR="001730CC" w:rsidRPr="00673438" w:rsidRDefault="00002BCF"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Global Reporting Initiative</w:t>
      </w:r>
      <w:r w:rsidR="00673438" w:rsidRPr="00673438">
        <w:rPr>
          <w:rFonts w:ascii="Times New Roman" w:hAnsi="Times New Roman" w:cs="Times New Roman"/>
          <w:noProof/>
          <w:sz w:val="24"/>
          <w:szCs w:val="24"/>
          <w:lang w:val="en-US"/>
        </w:rPr>
        <w:t>, (2016c)</w:t>
      </w:r>
      <w:r w:rsidR="00673438">
        <w:rPr>
          <w:rFonts w:ascii="Times New Roman" w:hAnsi="Times New Roman" w:cs="Times New Roman"/>
          <w:noProof/>
          <w:sz w:val="24"/>
          <w:szCs w:val="24"/>
          <w:lang w:val="en-US"/>
        </w:rPr>
        <w:t>.</w:t>
      </w:r>
      <w:r w:rsidR="001730CC" w:rsidRPr="00673438">
        <w:rPr>
          <w:rFonts w:ascii="Times New Roman" w:hAnsi="Times New Roman" w:cs="Times New Roman"/>
          <w:noProof/>
          <w:sz w:val="24"/>
          <w:szCs w:val="24"/>
          <w:lang w:val="en-US"/>
        </w:rPr>
        <w:t xml:space="preserve"> GRI 405: Diversity and equal opportunity. </w:t>
      </w:r>
      <w:r w:rsidR="001730CC" w:rsidRPr="00673438">
        <w:rPr>
          <w:rFonts w:ascii="Times New Roman" w:hAnsi="Times New Roman" w:cs="Times New Roman"/>
          <w:bCs/>
          <w:noProof/>
          <w:sz w:val="24"/>
          <w:szCs w:val="24"/>
          <w:lang w:val="en-US"/>
        </w:rPr>
        <w:t>GRI Standards</w:t>
      </w:r>
      <w:r w:rsidR="001730CC" w:rsidRPr="00673438">
        <w:rPr>
          <w:rFonts w:ascii="Times New Roman" w:hAnsi="Times New Roman" w:cs="Times New Roman"/>
          <w:noProof/>
          <w:sz w:val="24"/>
          <w:szCs w:val="24"/>
          <w:lang w:val="en-US"/>
        </w:rPr>
        <w:t xml:space="preserve">. </w:t>
      </w:r>
    </w:p>
    <w:p w14:paraId="5560F83A" w14:textId="7C03B6CA" w:rsidR="001730CC" w:rsidRPr="00673438" w:rsidRDefault="00002BCF"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Global Reporting Initiative</w:t>
      </w:r>
      <w:r w:rsidR="00673438" w:rsidRPr="00673438">
        <w:rPr>
          <w:rFonts w:ascii="Times New Roman" w:hAnsi="Times New Roman" w:cs="Times New Roman"/>
          <w:noProof/>
          <w:sz w:val="24"/>
          <w:szCs w:val="24"/>
          <w:lang w:val="en-US"/>
        </w:rPr>
        <w:t>, (2016d)</w:t>
      </w:r>
      <w:r w:rsidR="00673438">
        <w:rPr>
          <w:rFonts w:ascii="Times New Roman" w:hAnsi="Times New Roman" w:cs="Times New Roman"/>
          <w:noProof/>
          <w:sz w:val="24"/>
          <w:szCs w:val="24"/>
          <w:lang w:val="en-US"/>
        </w:rPr>
        <w:t>.</w:t>
      </w:r>
      <w:r w:rsidR="001730CC" w:rsidRPr="00673438">
        <w:rPr>
          <w:rFonts w:ascii="Times New Roman" w:hAnsi="Times New Roman" w:cs="Times New Roman"/>
          <w:noProof/>
          <w:sz w:val="24"/>
          <w:szCs w:val="24"/>
          <w:lang w:val="en-US"/>
        </w:rPr>
        <w:t xml:space="preserve"> GRI 406: No discrimina</w:t>
      </w:r>
      <w:r w:rsidR="00673438" w:rsidRPr="00673438">
        <w:rPr>
          <w:rFonts w:ascii="Times New Roman" w:hAnsi="Times New Roman" w:cs="Times New Roman"/>
          <w:noProof/>
          <w:sz w:val="24"/>
          <w:szCs w:val="24"/>
          <w:lang w:val="en-US"/>
        </w:rPr>
        <w:t>tion</w:t>
      </w:r>
      <w:r w:rsidR="001730CC" w:rsidRPr="00673438">
        <w:rPr>
          <w:rFonts w:ascii="Times New Roman" w:hAnsi="Times New Roman" w:cs="Times New Roman"/>
          <w:noProof/>
          <w:sz w:val="24"/>
          <w:szCs w:val="24"/>
          <w:lang w:val="en-US"/>
        </w:rPr>
        <w:t xml:space="preserve">. </w:t>
      </w:r>
    </w:p>
    <w:p w14:paraId="041FA0F7" w14:textId="6D0F38D2" w:rsidR="001730CC" w:rsidRPr="00673438" w:rsidRDefault="00002BCF"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Global Reporting Initiative</w:t>
      </w:r>
      <w:r w:rsidR="00673438" w:rsidRPr="00673438">
        <w:rPr>
          <w:rFonts w:ascii="Times New Roman" w:hAnsi="Times New Roman" w:cs="Times New Roman"/>
          <w:noProof/>
          <w:sz w:val="24"/>
          <w:szCs w:val="24"/>
          <w:lang w:val="en-US"/>
        </w:rPr>
        <w:t>, (2016e)</w:t>
      </w:r>
      <w:r w:rsidR="00673438">
        <w:rPr>
          <w:rFonts w:ascii="Times New Roman" w:hAnsi="Times New Roman" w:cs="Times New Roman"/>
          <w:noProof/>
          <w:sz w:val="24"/>
          <w:szCs w:val="24"/>
          <w:lang w:val="en-US"/>
        </w:rPr>
        <w:t>.</w:t>
      </w:r>
      <w:r w:rsidR="001730CC" w:rsidRPr="00673438">
        <w:rPr>
          <w:rFonts w:ascii="Times New Roman" w:hAnsi="Times New Roman" w:cs="Times New Roman"/>
          <w:noProof/>
          <w:sz w:val="24"/>
          <w:szCs w:val="24"/>
          <w:lang w:val="en-US"/>
        </w:rPr>
        <w:t xml:space="preserve"> GRI 407: Freedom of association and collective bargaining. </w:t>
      </w:r>
      <w:r w:rsidR="001730CC" w:rsidRPr="00673438">
        <w:rPr>
          <w:rFonts w:ascii="Times New Roman" w:hAnsi="Times New Roman" w:cs="Times New Roman"/>
          <w:bCs/>
          <w:noProof/>
          <w:sz w:val="24"/>
          <w:szCs w:val="24"/>
          <w:lang w:val="en-US"/>
        </w:rPr>
        <w:t>GRI Standards</w:t>
      </w:r>
      <w:r w:rsidR="001730CC" w:rsidRPr="00673438">
        <w:rPr>
          <w:rFonts w:ascii="Times New Roman" w:hAnsi="Times New Roman" w:cs="Times New Roman"/>
          <w:noProof/>
          <w:sz w:val="24"/>
          <w:szCs w:val="24"/>
          <w:lang w:val="en-US"/>
        </w:rPr>
        <w:t xml:space="preserve">. </w:t>
      </w:r>
    </w:p>
    <w:p w14:paraId="4C6ED9AE" w14:textId="2140A80F" w:rsidR="001730CC" w:rsidRPr="00673438" w:rsidRDefault="00002BCF"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Global Reporting Initiative</w:t>
      </w:r>
      <w:r w:rsidR="00673438" w:rsidRPr="00673438">
        <w:rPr>
          <w:rFonts w:ascii="Times New Roman" w:hAnsi="Times New Roman" w:cs="Times New Roman"/>
          <w:noProof/>
          <w:sz w:val="24"/>
          <w:szCs w:val="24"/>
          <w:lang w:val="en-US"/>
        </w:rPr>
        <w:t>, (2016f).</w:t>
      </w:r>
      <w:r w:rsidR="001730CC" w:rsidRPr="00673438">
        <w:rPr>
          <w:rFonts w:ascii="Times New Roman" w:hAnsi="Times New Roman" w:cs="Times New Roman"/>
          <w:noProof/>
          <w:sz w:val="24"/>
          <w:szCs w:val="24"/>
          <w:lang w:val="en-US"/>
        </w:rPr>
        <w:t xml:space="preserve"> GRI 408: Child labor. </w:t>
      </w:r>
      <w:r w:rsidR="001730CC" w:rsidRPr="00673438">
        <w:rPr>
          <w:rFonts w:ascii="Times New Roman" w:hAnsi="Times New Roman" w:cs="Times New Roman"/>
          <w:bCs/>
          <w:noProof/>
          <w:sz w:val="24"/>
          <w:szCs w:val="24"/>
          <w:lang w:val="en-US"/>
        </w:rPr>
        <w:t>GRI Standards</w:t>
      </w:r>
      <w:r w:rsidR="001730CC" w:rsidRPr="00673438">
        <w:rPr>
          <w:rFonts w:ascii="Times New Roman" w:hAnsi="Times New Roman" w:cs="Times New Roman"/>
          <w:noProof/>
          <w:sz w:val="24"/>
          <w:szCs w:val="24"/>
          <w:lang w:val="en-US"/>
        </w:rPr>
        <w:t xml:space="preserve">. </w:t>
      </w:r>
    </w:p>
    <w:p w14:paraId="53A1B9A8" w14:textId="69DA4BFE" w:rsidR="001730CC" w:rsidRPr="00673438" w:rsidRDefault="00002BCF"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Global Reporting Initiative</w:t>
      </w:r>
      <w:r w:rsidR="00673438">
        <w:rPr>
          <w:rFonts w:ascii="Times New Roman" w:hAnsi="Times New Roman" w:cs="Times New Roman"/>
          <w:noProof/>
          <w:sz w:val="24"/>
          <w:szCs w:val="24"/>
          <w:lang w:val="en-US"/>
        </w:rPr>
        <w:t>, (2016g).</w:t>
      </w:r>
      <w:r w:rsidR="001730CC" w:rsidRPr="00673438">
        <w:rPr>
          <w:rFonts w:ascii="Times New Roman" w:hAnsi="Times New Roman" w:cs="Times New Roman"/>
          <w:noProof/>
          <w:sz w:val="24"/>
          <w:szCs w:val="24"/>
          <w:lang w:val="en-US"/>
        </w:rPr>
        <w:t xml:space="preserve"> GRI 409: Forced or compulsory labor. </w:t>
      </w:r>
      <w:r w:rsidR="001730CC" w:rsidRPr="00673438">
        <w:rPr>
          <w:rFonts w:ascii="Times New Roman" w:hAnsi="Times New Roman" w:cs="Times New Roman"/>
          <w:bCs/>
          <w:noProof/>
          <w:sz w:val="24"/>
          <w:szCs w:val="24"/>
          <w:lang w:val="en-US"/>
        </w:rPr>
        <w:t>GRI Standards</w:t>
      </w:r>
      <w:r w:rsidR="001730CC" w:rsidRPr="00673438">
        <w:rPr>
          <w:rFonts w:ascii="Times New Roman" w:hAnsi="Times New Roman" w:cs="Times New Roman"/>
          <w:noProof/>
          <w:sz w:val="24"/>
          <w:szCs w:val="24"/>
          <w:lang w:val="en-US"/>
        </w:rPr>
        <w:t xml:space="preserve">. </w:t>
      </w:r>
    </w:p>
    <w:p w14:paraId="7E5C4CE0" w14:textId="6E9AEB72" w:rsidR="001730CC" w:rsidRPr="00673438" w:rsidRDefault="00002BCF"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Global Reporting Initiative</w:t>
      </w:r>
      <w:r w:rsidR="00673438">
        <w:rPr>
          <w:rFonts w:ascii="Times New Roman" w:hAnsi="Times New Roman" w:cs="Times New Roman"/>
          <w:noProof/>
          <w:sz w:val="24"/>
          <w:szCs w:val="24"/>
          <w:lang w:val="en-US"/>
        </w:rPr>
        <w:t>, (2016h).</w:t>
      </w:r>
      <w:r w:rsidR="001730CC" w:rsidRPr="00673438">
        <w:rPr>
          <w:rFonts w:ascii="Times New Roman" w:hAnsi="Times New Roman" w:cs="Times New Roman"/>
          <w:noProof/>
          <w:sz w:val="24"/>
          <w:szCs w:val="24"/>
          <w:lang w:val="en-US"/>
        </w:rPr>
        <w:t xml:space="preserve"> GRI 410: Security practices. </w:t>
      </w:r>
      <w:r w:rsidR="001730CC" w:rsidRPr="00673438">
        <w:rPr>
          <w:rFonts w:ascii="Times New Roman" w:hAnsi="Times New Roman" w:cs="Times New Roman"/>
          <w:bCs/>
          <w:noProof/>
          <w:sz w:val="24"/>
          <w:szCs w:val="24"/>
          <w:lang w:val="en-US"/>
        </w:rPr>
        <w:t>GRI Global</w:t>
      </w:r>
      <w:r w:rsidR="001730CC" w:rsidRPr="00673438">
        <w:rPr>
          <w:rFonts w:ascii="Times New Roman" w:hAnsi="Times New Roman" w:cs="Times New Roman"/>
          <w:noProof/>
          <w:sz w:val="24"/>
          <w:szCs w:val="24"/>
          <w:lang w:val="en-US"/>
        </w:rPr>
        <w:t xml:space="preserve">. </w:t>
      </w:r>
    </w:p>
    <w:p w14:paraId="35FE2E54" w14:textId="3107E17E" w:rsidR="001730CC" w:rsidRPr="00673438" w:rsidRDefault="00002BCF"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Global Reporting Initiative</w:t>
      </w:r>
      <w:r w:rsidR="00673438">
        <w:rPr>
          <w:rFonts w:ascii="Times New Roman" w:hAnsi="Times New Roman" w:cs="Times New Roman"/>
          <w:noProof/>
          <w:sz w:val="24"/>
          <w:szCs w:val="24"/>
          <w:lang w:val="en-US"/>
        </w:rPr>
        <w:t>, (2016i).</w:t>
      </w:r>
      <w:r w:rsidR="001730CC" w:rsidRPr="00673438">
        <w:rPr>
          <w:rFonts w:ascii="Times New Roman" w:hAnsi="Times New Roman" w:cs="Times New Roman"/>
          <w:noProof/>
          <w:sz w:val="24"/>
          <w:szCs w:val="24"/>
          <w:lang w:val="en-US"/>
        </w:rPr>
        <w:t xml:space="preserve"> GRI 411: Rights of indigenous peoples. </w:t>
      </w:r>
      <w:r w:rsidR="001730CC" w:rsidRPr="00673438">
        <w:rPr>
          <w:rFonts w:ascii="Times New Roman" w:hAnsi="Times New Roman" w:cs="Times New Roman"/>
          <w:bCs/>
          <w:noProof/>
          <w:sz w:val="24"/>
          <w:szCs w:val="24"/>
          <w:lang w:val="en-US"/>
        </w:rPr>
        <w:t>GRI Global</w:t>
      </w:r>
      <w:r w:rsidR="001730CC" w:rsidRPr="00673438">
        <w:rPr>
          <w:rFonts w:ascii="Times New Roman" w:hAnsi="Times New Roman" w:cs="Times New Roman"/>
          <w:noProof/>
          <w:sz w:val="24"/>
          <w:szCs w:val="24"/>
          <w:lang w:val="en-US"/>
        </w:rPr>
        <w:t xml:space="preserve">. </w:t>
      </w:r>
    </w:p>
    <w:p w14:paraId="73441737" w14:textId="49EBB14A" w:rsidR="001730CC" w:rsidRPr="00673438" w:rsidRDefault="001730CC"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w:t>
      </w:r>
      <w:r w:rsidR="00002BCF" w:rsidRPr="00673438">
        <w:rPr>
          <w:rFonts w:ascii="Times New Roman" w:hAnsi="Times New Roman" w:cs="Times New Roman"/>
          <w:noProof/>
          <w:sz w:val="24"/>
          <w:szCs w:val="24"/>
          <w:lang w:val="en-US"/>
        </w:rPr>
        <w:t>lobal</w:t>
      </w:r>
      <w:r w:rsidRPr="00673438">
        <w:rPr>
          <w:rFonts w:ascii="Times New Roman" w:hAnsi="Times New Roman" w:cs="Times New Roman"/>
          <w:noProof/>
          <w:sz w:val="24"/>
          <w:szCs w:val="24"/>
          <w:lang w:val="en-US"/>
        </w:rPr>
        <w:t xml:space="preserve"> R</w:t>
      </w:r>
      <w:r w:rsidR="00002BCF" w:rsidRPr="00673438">
        <w:rPr>
          <w:rFonts w:ascii="Times New Roman" w:hAnsi="Times New Roman" w:cs="Times New Roman"/>
          <w:noProof/>
          <w:sz w:val="24"/>
          <w:szCs w:val="24"/>
          <w:lang w:val="en-US"/>
        </w:rPr>
        <w:t>eporting</w:t>
      </w:r>
      <w:r w:rsidRPr="00673438">
        <w:rPr>
          <w:rFonts w:ascii="Times New Roman" w:hAnsi="Times New Roman" w:cs="Times New Roman"/>
          <w:noProof/>
          <w:sz w:val="24"/>
          <w:szCs w:val="24"/>
          <w:lang w:val="en-US"/>
        </w:rPr>
        <w:t xml:space="preserve"> I</w:t>
      </w:r>
      <w:r w:rsidR="00002BCF" w:rsidRPr="00673438">
        <w:rPr>
          <w:rFonts w:ascii="Times New Roman" w:hAnsi="Times New Roman" w:cs="Times New Roman"/>
          <w:noProof/>
          <w:sz w:val="24"/>
          <w:szCs w:val="24"/>
          <w:lang w:val="en-US"/>
        </w:rPr>
        <w:t>nitiative</w:t>
      </w:r>
      <w:r w:rsidR="00673438">
        <w:rPr>
          <w:rFonts w:ascii="Times New Roman" w:hAnsi="Times New Roman" w:cs="Times New Roman"/>
          <w:noProof/>
          <w:sz w:val="24"/>
          <w:szCs w:val="24"/>
          <w:lang w:val="en-US"/>
        </w:rPr>
        <w:t>, (2016j).</w:t>
      </w:r>
      <w:r w:rsidRPr="00673438">
        <w:rPr>
          <w:rFonts w:ascii="Times New Roman" w:hAnsi="Times New Roman" w:cs="Times New Roman"/>
          <w:noProof/>
          <w:sz w:val="24"/>
          <w:szCs w:val="24"/>
          <w:lang w:val="en-US"/>
        </w:rPr>
        <w:t xml:space="preserve"> GRI 412: Human rights assessment. </w:t>
      </w:r>
      <w:r w:rsidRPr="00673438">
        <w:rPr>
          <w:rFonts w:ascii="Times New Roman" w:hAnsi="Times New Roman" w:cs="Times New Roman"/>
          <w:bCs/>
          <w:noProof/>
          <w:sz w:val="24"/>
          <w:szCs w:val="24"/>
          <w:lang w:val="en-US"/>
        </w:rPr>
        <w:t>GRI Standards</w:t>
      </w:r>
      <w:r w:rsidRPr="00673438">
        <w:rPr>
          <w:rFonts w:ascii="Times New Roman" w:hAnsi="Times New Roman" w:cs="Times New Roman"/>
          <w:noProof/>
          <w:sz w:val="24"/>
          <w:szCs w:val="24"/>
          <w:lang w:val="en-US"/>
        </w:rPr>
        <w:t xml:space="preserve">. </w:t>
      </w:r>
    </w:p>
    <w:p w14:paraId="163B9CDB" w14:textId="49259700" w:rsidR="001730CC" w:rsidRPr="00673438" w:rsidRDefault="00002BCF"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Global Reporting Initiative</w:t>
      </w:r>
      <w:r w:rsidR="00673438">
        <w:rPr>
          <w:rFonts w:ascii="Times New Roman" w:hAnsi="Times New Roman" w:cs="Times New Roman"/>
          <w:noProof/>
          <w:sz w:val="24"/>
          <w:szCs w:val="24"/>
          <w:lang w:val="en-US"/>
        </w:rPr>
        <w:t>, (2016k). GRI 413: Local communities</w:t>
      </w:r>
      <w:r w:rsidR="001730CC" w:rsidRPr="00673438">
        <w:rPr>
          <w:rFonts w:ascii="Times New Roman" w:hAnsi="Times New Roman" w:cs="Times New Roman"/>
          <w:noProof/>
          <w:sz w:val="24"/>
          <w:szCs w:val="24"/>
          <w:lang w:val="en-US"/>
        </w:rPr>
        <w:t xml:space="preserve">. </w:t>
      </w:r>
    </w:p>
    <w:p w14:paraId="07FD4B6A" w14:textId="7465ED41" w:rsidR="001730CC" w:rsidRPr="00673438" w:rsidRDefault="00002BCF"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Global Reporting Initiative</w:t>
      </w:r>
      <w:r w:rsidR="00673438">
        <w:rPr>
          <w:rFonts w:ascii="Times New Roman" w:hAnsi="Times New Roman" w:cs="Times New Roman"/>
          <w:noProof/>
          <w:sz w:val="24"/>
          <w:szCs w:val="24"/>
          <w:lang w:val="en-US"/>
        </w:rPr>
        <w:t>, (2016l).</w:t>
      </w:r>
      <w:r w:rsidR="001730CC" w:rsidRPr="00673438">
        <w:rPr>
          <w:rFonts w:ascii="Times New Roman" w:hAnsi="Times New Roman" w:cs="Times New Roman"/>
          <w:noProof/>
          <w:sz w:val="24"/>
          <w:szCs w:val="24"/>
          <w:lang w:val="en-US"/>
        </w:rPr>
        <w:t xml:space="preserve"> GRI 414: Supplier social assessment. </w:t>
      </w:r>
      <w:r w:rsidR="001730CC" w:rsidRPr="00673438">
        <w:rPr>
          <w:rFonts w:ascii="Times New Roman" w:hAnsi="Times New Roman" w:cs="Times New Roman"/>
          <w:bCs/>
          <w:noProof/>
          <w:sz w:val="24"/>
          <w:szCs w:val="24"/>
          <w:lang w:val="en-US"/>
        </w:rPr>
        <w:t>GRI Standards</w:t>
      </w:r>
      <w:r w:rsidR="001730CC" w:rsidRPr="00673438">
        <w:rPr>
          <w:rFonts w:ascii="Times New Roman" w:hAnsi="Times New Roman" w:cs="Times New Roman"/>
          <w:noProof/>
          <w:sz w:val="24"/>
          <w:szCs w:val="24"/>
          <w:lang w:val="en-US"/>
        </w:rPr>
        <w:t xml:space="preserve">. </w:t>
      </w:r>
    </w:p>
    <w:p w14:paraId="1B42CA6C" w14:textId="3FEBBEAF" w:rsidR="001730CC" w:rsidRPr="00673438" w:rsidRDefault="00002BCF"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Global Reporting Initiative</w:t>
      </w:r>
      <w:r w:rsidR="00673438">
        <w:rPr>
          <w:rFonts w:ascii="Times New Roman" w:hAnsi="Times New Roman" w:cs="Times New Roman"/>
          <w:noProof/>
          <w:sz w:val="24"/>
          <w:szCs w:val="24"/>
          <w:lang w:val="en-US"/>
        </w:rPr>
        <w:t>, (2016m).</w:t>
      </w:r>
      <w:r w:rsidR="001730CC" w:rsidRPr="00673438">
        <w:rPr>
          <w:rFonts w:ascii="Times New Roman" w:hAnsi="Times New Roman" w:cs="Times New Roman"/>
          <w:noProof/>
          <w:sz w:val="24"/>
          <w:szCs w:val="24"/>
          <w:lang w:val="en-US"/>
        </w:rPr>
        <w:t xml:space="preserve"> GRI 415: Public policy. </w:t>
      </w:r>
      <w:r w:rsidR="001730CC" w:rsidRPr="00673438">
        <w:rPr>
          <w:rFonts w:ascii="Times New Roman" w:hAnsi="Times New Roman" w:cs="Times New Roman"/>
          <w:bCs/>
          <w:noProof/>
          <w:sz w:val="24"/>
          <w:szCs w:val="24"/>
          <w:lang w:val="en-US"/>
        </w:rPr>
        <w:t>GRI Standards</w:t>
      </w:r>
      <w:r w:rsidR="001730CC" w:rsidRPr="00673438">
        <w:rPr>
          <w:rFonts w:ascii="Times New Roman" w:hAnsi="Times New Roman" w:cs="Times New Roman"/>
          <w:noProof/>
          <w:sz w:val="24"/>
          <w:szCs w:val="24"/>
          <w:lang w:val="en-US"/>
        </w:rPr>
        <w:t xml:space="preserve">. </w:t>
      </w:r>
    </w:p>
    <w:p w14:paraId="6C5C4B74" w14:textId="67825904" w:rsidR="001730CC" w:rsidRPr="00673438" w:rsidRDefault="00002BCF"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Global Reporting Initiative</w:t>
      </w:r>
      <w:r w:rsidR="00673438">
        <w:rPr>
          <w:rFonts w:ascii="Times New Roman" w:hAnsi="Times New Roman" w:cs="Times New Roman"/>
          <w:noProof/>
          <w:sz w:val="24"/>
          <w:szCs w:val="24"/>
          <w:lang w:val="en-US"/>
        </w:rPr>
        <w:t>, (2016n).</w:t>
      </w:r>
      <w:r w:rsidR="001730CC" w:rsidRPr="00673438">
        <w:rPr>
          <w:rFonts w:ascii="Times New Roman" w:hAnsi="Times New Roman" w:cs="Times New Roman"/>
          <w:noProof/>
          <w:sz w:val="24"/>
          <w:szCs w:val="24"/>
          <w:lang w:val="en-US"/>
        </w:rPr>
        <w:t xml:space="preserve"> GRI 416: Customer health and safety. </w:t>
      </w:r>
      <w:r w:rsidR="001730CC" w:rsidRPr="00673438">
        <w:rPr>
          <w:rFonts w:ascii="Times New Roman" w:hAnsi="Times New Roman" w:cs="Times New Roman"/>
          <w:bCs/>
          <w:noProof/>
          <w:sz w:val="24"/>
          <w:szCs w:val="24"/>
          <w:lang w:val="en-US"/>
        </w:rPr>
        <w:t>GRI Standards</w:t>
      </w:r>
      <w:r w:rsidR="001730CC" w:rsidRPr="00673438">
        <w:rPr>
          <w:rFonts w:ascii="Times New Roman" w:hAnsi="Times New Roman" w:cs="Times New Roman"/>
          <w:noProof/>
          <w:sz w:val="24"/>
          <w:szCs w:val="24"/>
          <w:lang w:val="en-US"/>
        </w:rPr>
        <w:t xml:space="preserve">. </w:t>
      </w:r>
    </w:p>
    <w:p w14:paraId="2BC78027" w14:textId="45D833A5" w:rsidR="001730CC" w:rsidRPr="00673438" w:rsidRDefault="00002BCF"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Global Reporting Initiative</w:t>
      </w:r>
      <w:r w:rsidR="00673438">
        <w:rPr>
          <w:rFonts w:ascii="Times New Roman" w:hAnsi="Times New Roman" w:cs="Times New Roman"/>
          <w:noProof/>
          <w:sz w:val="24"/>
          <w:szCs w:val="24"/>
          <w:lang w:val="en-US"/>
        </w:rPr>
        <w:t>, (2016o).</w:t>
      </w:r>
      <w:r w:rsidR="001730CC" w:rsidRPr="00673438">
        <w:rPr>
          <w:rFonts w:ascii="Times New Roman" w:hAnsi="Times New Roman" w:cs="Times New Roman"/>
          <w:noProof/>
          <w:sz w:val="24"/>
          <w:szCs w:val="24"/>
          <w:lang w:val="en-US"/>
        </w:rPr>
        <w:t xml:space="preserve"> GRI 417: Marketing and Labeling. p. 10. </w:t>
      </w:r>
    </w:p>
    <w:p w14:paraId="1F8C17EF" w14:textId="206D53D2" w:rsidR="001730CC" w:rsidRPr="00673438" w:rsidRDefault="00002BCF"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Global Reporting Initiative</w:t>
      </w:r>
      <w:r w:rsidR="00673438">
        <w:rPr>
          <w:rFonts w:ascii="Times New Roman" w:hAnsi="Times New Roman" w:cs="Times New Roman"/>
          <w:noProof/>
          <w:sz w:val="24"/>
          <w:szCs w:val="24"/>
          <w:lang w:val="en-US"/>
        </w:rPr>
        <w:t>, (2016p).</w:t>
      </w:r>
      <w:r w:rsidR="001730CC" w:rsidRPr="00673438">
        <w:rPr>
          <w:rFonts w:ascii="Times New Roman" w:hAnsi="Times New Roman" w:cs="Times New Roman"/>
          <w:noProof/>
          <w:sz w:val="24"/>
          <w:szCs w:val="24"/>
          <w:lang w:val="en-US"/>
        </w:rPr>
        <w:t xml:space="preserve"> GRI 418: Customer privacy. </w:t>
      </w:r>
      <w:r w:rsidR="001730CC" w:rsidRPr="00673438">
        <w:rPr>
          <w:rFonts w:ascii="Times New Roman" w:hAnsi="Times New Roman" w:cs="Times New Roman"/>
          <w:bCs/>
          <w:noProof/>
          <w:sz w:val="24"/>
          <w:szCs w:val="24"/>
          <w:lang w:val="en-US"/>
        </w:rPr>
        <w:t>GRI Standards</w:t>
      </w:r>
      <w:r w:rsidR="001730CC" w:rsidRPr="00673438">
        <w:rPr>
          <w:rFonts w:ascii="Times New Roman" w:hAnsi="Times New Roman" w:cs="Times New Roman"/>
          <w:noProof/>
          <w:sz w:val="24"/>
          <w:szCs w:val="24"/>
          <w:lang w:val="en-US"/>
        </w:rPr>
        <w:t xml:space="preserve">. </w:t>
      </w:r>
    </w:p>
    <w:p w14:paraId="5C7EF567" w14:textId="277A9D2D" w:rsidR="001730CC" w:rsidRPr="00673438" w:rsidRDefault="00002BCF"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Global Reporting Initiative</w:t>
      </w:r>
      <w:r w:rsidR="00673438">
        <w:rPr>
          <w:rFonts w:ascii="Times New Roman" w:hAnsi="Times New Roman" w:cs="Times New Roman"/>
          <w:noProof/>
          <w:sz w:val="24"/>
          <w:szCs w:val="24"/>
          <w:lang w:val="en-US"/>
        </w:rPr>
        <w:t>, (2016q).</w:t>
      </w:r>
      <w:r w:rsidR="001730CC" w:rsidRPr="00673438">
        <w:rPr>
          <w:rFonts w:ascii="Times New Roman" w:hAnsi="Times New Roman" w:cs="Times New Roman"/>
          <w:noProof/>
          <w:sz w:val="24"/>
          <w:szCs w:val="24"/>
          <w:lang w:val="en-US"/>
        </w:rPr>
        <w:t xml:space="preserve"> GRI 419: Socioeconomic compliance. </w:t>
      </w:r>
    </w:p>
    <w:p w14:paraId="0D99587F" w14:textId="01BC52A9" w:rsidR="001730CC" w:rsidRPr="00002BCF" w:rsidRDefault="00002BCF" w:rsidP="00002BCF">
      <w:pPr>
        <w:widowControl w:val="0"/>
        <w:autoSpaceDE w:val="0"/>
        <w:autoSpaceDN w:val="0"/>
        <w:adjustRightInd w:val="0"/>
        <w:spacing w:line="240" w:lineRule="auto"/>
        <w:jc w:val="left"/>
        <w:rPr>
          <w:rFonts w:ascii="Times New Roman" w:hAnsi="Times New Roman" w:cs="Times New Roman"/>
          <w:noProof/>
          <w:sz w:val="24"/>
          <w:szCs w:val="24"/>
        </w:rPr>
      </w:pPr>
      <w:r w:rsidRPr="00673438">
        <w:rPr>
          <w:rFonts w:ascii="Times New Roman" w:hAnsi="Times New Roman" w:cs="Times New Roman"/>
          <w:noProof/>
          <w:sz w:val="24"/>
          <w:szCs w:val="24"/>
          <w:lang w:val="en-US"/>
        </w:rPr>
        <w:t>Global Reporting Initiative</w:t>
      </w:r>
      <w:r w:rsidR="00673438">
        <w:rPr>
          <w:rFonts w:ascii="Times New Roman" w:hAnsi="Times New Roman" w:cs="Times New Roman"/>
          <w:noProof/>
          <w:sz w:val="24"/>
          <w:szCs w:val="24"/>
          <w:lang w:val="en-US"/>
        </w:rPr>
        <w:t>, (2018a)</w:t>
      </w:r>
      <w:r w:rsidR="001730CC" w:rsidRPr="00673438">
        <w:rPr>
          <w:rFonts w:ascii="Times New Roman" w:hAnsi="Times New Roman" w:cs="Times New Roman"/>
          <w:noProof/>
          <w:sz w:val="24"/>
          <w:szCs w:val="24"/>
          <w:lang w:val="en-US"/>
        </w:rPr>
        <w:t xml:space="preserve"> GRI 402: Labor/Management Relations. p. 1–</w:t>
      </w:r>
      <w:r w:rsidR="00673438">
        <w:rPr>
          <w:rFonts w:ascii="Times New Roman" w:hAnsi="Times New Roman" w:cs="Times New Roman"/>
          <w:noProof/>
          <w:sz w:val="24"/>
          <w:szCs w:val="24"/>
          <w:lang w:val="en-US"/>
        </w:rPr>
        <w:t>8</w:t>
      </w:r>
      <w:r w:rsidR="001730CC" w:rsidRPr="00002BCF">
        <w:rPr>
          <w:rFonts w:ascii="Times New Roman" w:hAnsi="Times New Roman" w:cs="Times New Roman"/>
          <w:noProof/>
          <w:sz w:val="24"/>
          <w:szCs w:val="24"/>
        </w:rPr>
        <w:t xml:space="preserve">. </w:t>
      </w:r>
    </w:p>
    <w:p w14:paraId="4EE4BF13" w14:textId="654F3B4D" w:rsidR="001730CC" w:rsidRPr="00673438" w:rsidRDefault="00002BCF"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lastRenderedPageBreak/>
        <w:t>Global Reporting Initiative</w:t>
      </w:r>
      <w:r w:rsidR="00673438" w:rsidRPr="00673438">
        <w:rPr>
          <w:rFonts w:ascii="Times New Roman" w:hAnsi="Times New Roman" w:cs="Times New Roman"/>
          <w:noProof/>
          <w:sz w:val="24"/>
          <w:szCs w:val="24"/>
          <w:lang w:val="en-US"/>
        </w:rPr>
        <w:t>, (2018b)</w:t>
      </w:r>
      <w:r w:rsidR="001730CC" w:rsidRPr="00673438">
        <w:rPr>
          <w:rFonts w:ascii="Times New Roman" w:hAnsi="Times New Roman" w:cs="Times New Roman"/>
          <w:noProof/>
          <w:sz w:val="24"/>
          <w:szCs w:val="24"/>
          <w:lang w:val="en-US"/>
        </w:rPr>
        <w:t xml:space="preserve"> GRI 403: Occupational health and safety. </w:t>
      </w:r>
    </w:p>
    <w:p w14:paraId="38832BEC" w14:textId="69A6864C" w:rsidR="001730CC" w:rsidRPr="00002BCF" w:rsidRDefault="001730CC" w:rsidP="00002BCF">
      <w:pPr>
        <w:widowControl w:val="0"/>
        <w:autoSpaceDE w:val="0"/>
        <w:autoSpaceDN w:val="0"/>
        <w:adjustRightInd w:val="0"/>
        <w:spacing w:line="240" w:lineRule="auto"/>
        <w:jc w:val="left"/>
        <w:rPr>
          <w:rFonts w:ascii="Times New Roman" w:hAnsi="Times New Roman" w:cs="Times New Roman"/>
          <w:noProof/>
          <w:sz w:val="24"/>
          <w:szCs w:val="24"/>
        </w:rPr>
      </w:pPr>
      <w:r w:rsidRPr="00002BCF">
        <w:rPr>
          <w:rFonts w:ascii="Times New Roman" w:hAnsi="Times New Roman" w:cs="Times New Roman"/>
          <w:noProof/>
          <w:sz w:val="24"/>
          <w:szCs w:val="24"/>
        </w:rPr>
        <w:t>G</w:t>
      </w:r>
      <w:r w:rsidR="00002BCF" w:rsidRPr="00002BCF">
        <w:rPr>
          <w:rFonts w:ascii="Times New Roman" w:hAnsi="Times New Roman" w:cs="Times New Roman"/>
          <w:noProof/>
          <w:sz w:val="24"/>
          <w:szCs w:val="24"/>
        </w:rPr>
        <w:t>raafland</w:t>
      </w:r>
      <w:r w:rsidR="00673438">
        <w:rPr>
          <w:rFonts w:ascii="Times New Roman" w:hAnsi="Times New Roman" w:cs="Times New Roman"/>
          <w:noProof/>
          <w:sz w:val="24"/>
          <w:szCs w:val="24"/>
        </w:rPr>
        <w:t>, J. J, (2004).</w:t>
      </w:r>
      <w:r w:rsidRPr="00002BCF">
        <w:rPr>
          <w:rFonts w:ascii="Times New Roman" w:hAnsi="Times New Roman" w:cs="Times New Roman"/>
          <w:noProof/>
          <w:sz w:val="24"/>
          <w:szCs w:val="24"/>
        </w:rPr>
        <w:t xml:space="preserve"> </w:t>
      </w:r>
      <w:r w:rsidRPr="00673438">
        <w:rPr>
          <w:rFonts w:ascii="Times New Roman" w:hAnsi="Times New Roman" w:cs="Times New Roman"/>
          <w:noProof/>
          <w:sz w:val="24"/>
          <w:szCs w:val="24"/>
          <w:lang w:val="en-US"/>
        </w:rPr>
        <w:t xml:space="preserve">Collusion, reputation damage and interest in codes of conduct: the case of a Dutch construction company. </w:t>
      </w:r>
      <w:r w:rsidRPr="00002BCF">
        <w:rPr>
          <w:rFonts w:ascii="Times New Roman" w:hAnsi="Times New Roman" w:cs="Times New Roman"/>
          <w:bCs/>
          <w:noProof/>
          <w:sz w:val="24"/>
          <w:szCs w:val="24"/>
        </w:rPr>
        <w:t>Business Ethics: A European Review</w:t>
      </w:r>
      <w:r w:rsidRPr="00002BCF">
        <w:rPr>
          <w:rFonts w:ascii="Times New Roman" w:hAnsi="Times New Roman" w:cs="Times New Roman"/>
          <w:noProof/>
          <w:sz w:val="24"/>
          <w:szCs w:val="24"/>
        </w:rPr>
        <w:t xml:space="preserve">, v. 13, n. 2–3, p. 127–142. </w:t>
      </w:r>
    </w:p>
    <w:p w14:paraId="1B38C56B" w14:textId="41096150" w:rsidR="001730CC" w:rsidRPr="00673438" w:rsidRDefault="00673438"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GRI, (2014)</w:t>
      </w:r>
      <w:r w:rsidR="001730CC" w:rsidRPr="00673438">
        <w:rPr>
          <w:rFonts w:ascii="Times New Roman" w:hAnsi="Times New Roman" w:cs="Times New Roman"/>
          <w:noProof/>
          <w:sz w:val="24"/>
          <w:szCs w:val="24"/>
          <w:lang w:val="en-US"/>
        </w:rPr>
        <w:t xml:space="preserve"> G4 Sustainability Reporting Guidelines - Reporting Principles and Standard Disclosures. </w:t>
      </w:r>
      <w:r w:rsidR="001730CC" w:rsidRPr="00673438">
        <w:rPr>
          <w:rFonts w:ascii="Times New Roman" w:hAnsi="Times New Roman" w:cs="Times New Roman"/>
          <w:bCs/>
          <w:noProof/>
          <w:sz w:val="24"/>
          <w:szCs w:val="24"/>
          <w:lang w:val="en-US"/>
        </w:rPr>
        <w:t>Global Reporting Initiative</w:t>
      </w:r>
      <w:r w:rsidR="001730CC" w:rsidRPr="00673438">
        <w:rPr>
          <w:rFonts w:ascii="Times New Roman" w:hAnsi="Times New Roman" w:cs="Times New Roman"/>
          <w:noProof/>
          <w:sz w:val="24"/>
          <w:szCs w:val="24"/>
          <w:lang w:val="en-US"/>
        </w:rPr>
        <w:t xml:space="preserve">. </w:t>
      </w:r>
    </w:p>
    <w:p w14:paraId="6BFA54B0" w14:textId="1117B557" w:rsidR="001730CC" w:rsidRPr="00673438" w:rsidRDefault="00673438"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GRI, (2016).</w:t>
      </w:r>
      <w:r>
        <w:rPr>
          <w:rFonts w:ascii="Times New Roman" w:hAnsi="Times New Roman" w:cs="Times New Roman"/>
          <w:noProof/>
          <w:sz w:val="24"/>
          <w:szCs w:val="24"/>
          <w:lang w:val="en-US"/>
        </w:rPr>
        <w:t xml:space="preserve"> Gri 101: fundamentos 2016 101.</w:t>
      </w:r>
      <w:r w:rsidR="001730CC" w:rsidRPr="00673438">
        <w:rPr>
          <w:rFonts w:ascii="Times New Roman" w:hAnsi="Times New Roman" w:cs="Times New Roman"/>
          <w:noProof/>
          <w:sz w:val="24"/>
          <w:szCs w:val="24"/>
          <w:lang w:val="en-US"/>
        </w:rPr>
        <w:t xml:space="preserve"> </w:t>
      </w:r>
    </w:p>
    <w:p w14:paraId="7D8FD454" w14:textId="55B0B15F" w:rsidR="001730CC" w:rsidRPr="00673438" w:rsidRDefault="00673438"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Pr>
          <w:rFonts w:ascii="Times New Roman" w:hAnsi="Times New Roman" w:cs="Times New Roman"/>
          <w:noProof/>
          <w:sz w:val="24"/>
          <w:szCs w:val="24"/>
          <w:lang w:val="en-US"/>
        </w:rPr>
        <w:t>ISO, (2004).</w:t>
      </w:r>
      <w:r w:rsidR="001730CC" w:rsidRPr="00673438">
        <w:rPr>
          <w:rFonts w:ascii="Times New Roman" w:hAnsi="Times New Roman" w:cs="Times New Roman"/>
          <w:noProof/>
          <w:sz w:val="24"/>
          <w:szCs w:val="24"/>
          <w:lang w:val="en-US"/>
        </w:rPr>
        <w:t xml:space="preserve"> </w:t>
      </w:r>
      <w:r w:rsidR="001730CC" w:rsidRPr="00673438">
        <w:rPr>
          <w:rFonts w:ascii="Times New Roman" w:hAnsi="Times New Roman" w:cs="Times New Roman"/>
          <w:bCs/>
          <w:noProof/>
          <w:sz w:val="24"/>
          <w:szCs w:val="24"/>
          <w:lang w:val="en-US"/>
        </w:rPr>
        <w:t>IS0 14001: Environmental management systems — Requirements with guidance for useOrder A Journal On The Theory Of Ordered Sets And Its Applications</w:t>
      </w:r>
      <w:r w:rsidR="001730CC" w:rsidRPr="00673438">
        <w:rPr>
          <w:rFonts w:ascii="Times New Roman" w:hAnsi="Times New Roman" w:cs="Times New Roman"/>
          <w:noProof/>
          <w:sz w:val="24"/>
          <w:szCs w:val="24"/>
          <w:lang w:val="en-US"/>
        </w:rPr>
        <w:t xml:space="preserve">. </w:t>
      </w:r>
    </w:p>
    <w:p w14:paraId="11D1860A" w14:textId="1EE3786A" w:rsidR="001730CC" w:rsidRPr="00673438" w:rsidRDefault="00673438"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Pr>
          <w:rFonts w:ascii="Times New Roman" w:hAnsi="Times New Roman" w:cs="Times New Roman"/>
          <w:noProof/>
          <w:sz w:val="24"/>
          <w:szCs w:val="24"/>
          <w:lang w:val="en-US"/>
        </w:rPr>
        <w:t>IS</w:t>
      </w:r>
      <w:r w:rsidRPr="00673438">
        <w:rPr>
          <w:rFonts w:ascii="Times New Roman" w:hAnsi="Times New Roman" w:cs="Times New Roman"/>
          <w:noProof/>
          <w:sz w:val="24"/>
          <w:szCs w:val="24"/>
          <w:lang w:val="en-US"/>
        </w:rPr>
        <w:t>O, (2015).</w:t>
      </w:r>
      <w:r w:rsidR="001730CC" w:rsidRPr="00673438">
        <w:rPr>
          <w:rFonts w:ascii="Times New Roman" w:hAnsi="Times New Roman" w:cs="Times New Roman"/>
          <w:noProof/>
          <w:sz w:val="24"/>
          <w:szCs w:val="24"/>
          <w:lang w:val="en-US"/>
        </w:rPr>
        <w:t xml:space="preserve"> ISO 9001:2015. </w:t>
      </w:r>
      <w:r w:rsidR="001730CC" w:rsidRPr="00673438">
        <w:rPr>
          <w:rFonts w:ascii="Times New Roman" w:hAnsi="Times New Roman" w:cs="Times New Roman"/>
          <w:bCs/>
          <w:noProof/>
          <w:sz w:val="24"/>
          <w:szCs w:val="24"/>
          <w:lang w:val="en-US"/>
        </w:rPr>
        <w:t>International organization for standardization</w:t>
      </w:r>
      <w:r w:rsidR="001730CC" w:rsidRPr="00673438">
        <w:rPr>
          <w:rFonts w:ascii="Times New Roman" w:hAnsi="Times New Roman" w:cs="Times New Roman"/>
          <w:noProof/>
          <w:sz w:val="24"/>
          <w:szCs w:val="24"/>
          <w:lang w:val="en-US"/>
        </w:rPr>
        <w:t xml:space="preserve">. </w:t>
      </w:r>
    </w:p>
    <w:p w14:paraId="2E0FFA49" w14:textId="0964842D" w:rsidR="001730CC" w:rsidRPr="00673438" w:rsidRDefault="001730CC"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K</w:t>
      </w:r>
      <w:r w:rsidR="00002BCF" w:rsidRPr="00673438">
        <w:rPr>
          <w:rFonts w:ascii="Times New Roman" w:hAnsi="Times New Roman" w:cs="Times New Roman"/>
          <w:noProof/>
          <w:sz w:val="24"/>
          <w:szCs w:val="24"/>
          <w:lang w:val="en-US"/>
        </w:rPr>
        <w:t>enny</w:t>
      </w:r>
      <w:r w:rsidR="00673438">
        <w:rPr>
          <w:rFonts w:ascii="Times New Roman" w:hAnsi="Times New Roman" w:cs="Times New Roman"/>
          <w:noProof/>
          <w:sz w:val="24"/>
          <w:szCs w:val="24"/>
          <w:lang w:val="en-US"/>
        </w:rPr>
        <w:t>, C, (2007).</w:t>
      </w:r>
      <w:r w:rsidRPr="00673438">
        <w:rPr>
          <w:rFonts w:ascii="Times New Roman" w:hAnsi="Times New Roman" w:cs="Times New Roman"/>
          <w:noProof/>
          <w:sz w:val="24"/>
          <w:szCs w:val="24"/>
          <w:lang w:val="en-US"/>
        </w:rPr>
        <w:t xml:space="preserve"> Construction, Corruption, and Developing Countries. </w:t>
      </w:r>
      <w:r w:rsidRPr="00673438">
        <w:rPr>
          <w:rFonts w:ascii="Times New Roman" w:hAnsi="Times New Roman" w:cs="Times New Roman"/>
          <w:bCs/>
          <w:noProof/>
          <w:sz w:val="24"/>
          <w:szCs w:val="24"/>
          <w:lang w:val="en-US"/>
        </w:rPr>
        <w:t>World Bank Policy Research</w:t>
      </w:r>
      <w:r w:rsidRPr="00673438">
        <w:rPr>
          <w:rFonts w:ascii="Times New Roman" w:hAnsi="Times New Roman" w:cs="Times New Roman"/>
          <w:noProof/>
          <w:sz w:val="24"/>
          <w:szCs w:val="24"/>
          <w:lang w:val="en-US"/>
        </w:rPr>
        <w:t xml:space="preserve">, v. Working Pa. </w:t>
      </w:r>
    </w:p>
    <w:p w14:paraId="36019564" w14:textId="531D42A3" w:rsidR="001730CC" w:rsidRPr="00002BCF" w:rsidRDefault="001730CC" w:rsidP="00002BCF">
      <w:pPr>
        <w:widowControl w:val="0"/>
        <w:autoSpaceDE w:val="0"/>
        <w:autoSpaceDN w:val="0"/>
        <w:adjustRightInd w:val="0"/>
        <w:spacing w:line="240" w:lineRule="auto"/>
        <w:jc w:val="left"/>
        <w:rPr>
          <w:rFonts w:ascii="Times New Roman" w:hAnsi="Times New Roman" w:cs="Times New Roman"/>
          <w:noProof/>
          <w:sz w:val="24"/>
          <w:szCs w:val="24"/>
        </w:rPr>
      </w:pPr>
      <w:r w:rsidRPr="00673438">
        <w:rPr>
          <w:rFonts w:ascii="Times New Roman" w:hAnsi="Times New Roman" w:cs="Times New Roman"/>
          <w:noProof/>
          <w:sz w:val="24"/>
          <w:szCs w:val="24"/>
          <w:lang w:val="en-US"/>
        </w:rPr>
        <w:t>K</w:t>
      </w:r>
      <w:r w:rsidR="00002BCF" w:rsidRPr="00673438">
        <w:rPr>
          <w:rFonts w:ascii="Times New Roman" w:hAnsi="Times New Roman" w:cs="Times New Roman"/>
          <w:noProof/>
          <w:sz w:val="24"/>
          <w:szCs w:val="24"/>
          <w:lang w:val="en-US"/>
        </w:rPr>
        <w:t>han</w:t>
      </w:r>
      <w:r w:rsidR="00673438">
        <w:rPr>
          <w:rFonts w:ascii="Times New Roman" w:hAnsi="Times New Roman" w:cs="Times New Roman"/>
          <w:noProof/>
          <w:sz w:val="24"/>
          <w:szCs w:val="24"/>
          <w:lang w:val="en-US"/>
        </w:rPr>
        <w:t>, M. A, (1995)</w:t>
      </w:r>
      <w:r w:rsidRPr="00673438">
        <w:rPr>
          <w:rFonts w:ascii="Times New Roman" w:hAnsi="Times New Roman" w:cs="Times New Roman"/>
          <w:noProof/>
          <w:sz w:val="24"/>
          <w:szCs w:val="24"/>
          <w:lang w:val="en-US"/>
        </w:rPr>
        <w:t xml:space="preserve"> Sustainable development: The key concepts, issues and implications. </w:t>
      </w:r>
      <w:r w:rsidRPr="00002BCF">
        <w:rPr>
          <w:rFonts w:ascii="Times New Roman" w:hAnsi="Times New Roman" w:cs="Times New Roman"/>
          <w:noProof/>
          <w:sz w:val="24"/>
          <w:szCs w:val="24"/>
        </w:rPr>
        <w:t xml:space="preserve">Keynote paper given at the international sustainable development research conference, 27–29 march 1995, Manchester, UK. </w:t>
      </w:r>
      <w:r w:rsidRPr="00002BCF">
        <w:rPr>
          <w:rFonts w:ascii="Times New Roman" w:hAnsi="Times New Roman" w:cs="Times New Roman"/>
          <w:bCs/>
          <w:noProof/>
          <w:sz w:val="24"/>
          <w:szCs w:val="24"/>
        </w:rPr>
        <w:t>Sustainable Development</w:t>
      </w:r>
      <w:r w:rsidRPr="00002BCF">
        <w:rPr>
          <w:rFonts w:ascii="Times New Roman" w:hAnsi="Times New Roman" w:cs="Times New Roman"/>
          <w:noProof/>
          <w:sz w:val="24"/>
          <w:szCs w:val="24"/>
        </w:rPr>
        <w:t xml:space="preserve">, v. 3, n. 2, p. 63–69. </w:t>
      </w:r>
    </w:p>
    <w:p w14:paraId="75CCF31E" w14:textId="1987AA1F" w:rsidR="001730CC" w:rsidRPr="00002BCF" w:rsidRDefault="001730CC" w:rsidP="00002BCF">
      <w:pPr>
        <w:widowControl w:val="0"/>
        <w:autoSpaceDE w:val="0"/>
        <w:autoSpaceDN w:val="0"/>
        <w:adjustRightInd w:val="0"/>
        <w:spacing w:line="240" w:lineRule="auto"/>
        <w:jc w:val="left"/>
        <w:rPr>
          <w:rFonts w:ascii="Times New Roman" w:hAnsi="Times New Roman" w:cs="Times New Roman"/>
          <w:noProof/>
          <w:sz w:val="24"/>
          <w:szCs w:val="24"/>
        </w:rPr>
      </w:pPr>
      <w:r w:rsidRPr="00002BCF">
        <w:rPr>
          <w:rFonts w:ascii="Times New Roman" w:hAnsi="Times New Roman" w:cs="Times New Roman"/>
          <w:noProof/>
          <w:sz w:val="24"/>
          <w:szCs w:val="24"/>
        </w:rPr>
        <w:t>K</w:t>
      </w:r>
      <w:r w:rsidR="00002BCF" w:rsidRPr="00002BCF">
        <w:rPr>
          <w:rFonts w:ascii="Times New Roman" w:hAnsi="Times New Roman" w:cs="Times New Roman"/>
          <w:noProof/>
          <w:sz w:val="24"/>
          <w:szCs w:val="24"/>
        </w:rPr>
        <w:t>ohlman</w:t>
      </w:r>
      <w:r w:rsidRPr="00002BCF">
        <w:rPr>
          <w:rFonts w:ascii="Times New Roman" w:hAnsi="Times New Roman" w:cs="Times New Roman"/>
          <w:noProof/>
          <w:sz w:val="24"/>
          <w:szCs w:val="24"/>
        </w:rPr>
        <w:t xml:space="preserve"> R</w:t>
      </w:r>
      <w:r w:rsidR="00002BCF" w:rsidRPr="00002BCF">
        <w:rPr>
          <w:rFonts w:ascii="Times New Roman" w:hAnsi="Times New Roman" w:cs="Times New Roman"/>
          <w:noProof/>
          <w:sz w:val="24"/>
          <w:szCs w:val="24"/>
        </w:rPr>
        <w:t>abbani</w:t>
      </w:r>
      <w:r w:rsidRPr="00002BCF">
        <w:rPr>
          <w:rFonts w:ascii="Times New Roman" w:hAnsi="Times New Roman" w:cs="Times New Roman"/>
          <w:noProof/>
          <w:sz w:val="24"/>
          <w:szCs w:val="24"/>
        </w:rPr>
        <w:t>, E. R.; P</w:t>
      </w:r>
      <w:r w:rsidR="00002BCF" w:rsidRPr="00002BCF">
        <w:rPr>
          <w:rFonts w:ascii="Times New Roman" w:hAnsi="Times New Roman" w:cs="Times New Roman"/>
          <w:noProof/>
          <w:sz w:val="24"/>
          <w:szCs w:val="24"/>
        </w:rPr>
        <w:t>ereira</w:t>
      </w:r>
      <w:r w:rsidRPr="00002BCF">
        <w:rPr>
          <w:rFonts w:ascii="Times New Roman" w:hAnsi="Times New Roman" w:cs="Times New Roman"/>
          <w:noProof/>
          <w:sz w:val="24"/>
          <w:szCs w:val="24"/>
        </w:rPr>
        <w:t>, M. L.; C</w:t>
      </w:r>
      <w:r w:rsidR="00002BCF" w:rsidRPr="00002BCF">
        <w:rPr>
          <w:rFonts w:ascii="Times New Roman" w:hAnsi="Times New Roman" w:cs="Times New Roman"/>
          <w:noProof/>
          <w:sz w:val="24"/>
          <w:szCs w:val="24"/>
        </w:rPr>
        <w:t>ruz</w:t>
      </w:r>
      <w:r w:rsidRPr="00002BCF">
        <w:rPr>
          <w:rFonts w:ascii="Times New Roman" w:hAnsi="Times New Roman" w:cs="Times New Roman"/>
          <w:noProof/>
          <w:sz w:val="24"/>
          <w:szCs w:val="24"/>
        </w:rPr>
        <w:t>, E. N</w:t>
      </w:r>
      <w:r w:rsidR="00673438">
        <w:rPr>
          <w:rFonts w:ascii="Times New Roman" w:hAnsi="Times New Roman" w:cs="Times New Roman"/>
          <w:noProof/>
          <w:sz w:val="24"/>
          <w:szCs w:val="24"/>
        </w:rPr>
        <w:t>, (2017)</w:t>
      </w:r>
      <w:r w:rsidRPr="00002BCF">
        <w:rPr>
          <w:rFonts w:ascii="Times New Roman" w:hAnsi="Times New Roman" w:cs="Times New Roman"/>
          <w:noProof/>
          <w:sz w:val="24"/>
          <w:szCs w:val="24"/>
        </w:rPr>
        <w:t xml:space="preserve"> Sustentabilidade Social em Projetos de Construção. In: </w:t>
      </w:r>
      <w:r w:rsidRPr="00002BCF">
        <w:rPr>
          <w:rFonts w:ascii="Times New Roman" w:hAnsi="Times New Roman" w:cs="Times New Roman"/>
          <w:bCs/>
          <w:noProof/>
          <w:sz w:val="24"/>
          <w:szCs w:val="24"/>
        </w:rPr>
        <w:t>Sustentabilidade Urbana</w:t>
      </w:r>
      <w:r w:rsidRPr="00002BCF">
        <w:rPr>
          <w:rFonts w:ascii="Times New Roman" w:hAnsi="Times New Roman" w:cs="Times New Roman"/>
          <w:noProof/>
          <w:sz w:val="24"/>
          <w:szCs w:val="24"/>
        </w:rPr>
        <w:t xml:space="preserve">. 1 ed. ed. Recife: EDUPE. p. 61–84. </w:t>
      </w:r>
    </w:p>
    <w:p w14:paraId="5297C547" w14:textId="0FBB0064" w:rsidR="001730CC" w:rsidRPr="00002BCF" w:rsidRDefault="001730CC" w:rsidP="00002BCF">
      <w:pPr>
        <w:widowControl w:val="0"/>
        <w:autoSpaceDE w:val="0"/>
        <w:autoSpaceDN w:val="0"/>
        <w:adjustRightInd w:val="0"/>
        <w:spacing w:line="240" w:lineRule="auto"/>
        <w:jc w:val="left"/>
        <w:rPr>
          <w:rFonts w:ascii="Times New Roman" w:hAnsi="Times New Roman" w:cs="Times New Roman"/>
          <w:noProof/>
          <w:sz w:val="24"/>
          <w:szCs w:val="24"/>
        </w:rPr>
      </w:pPr>
      <w:r w:rsidRPr="00002BCF">
        <w:rPr>
          <w:rFonts w:ascii="Times New Roman" w:hAnsi="Times New Roman" w:cs="Times New Roman"/>
          <w:noProof/>
          <w:sz w:val="24"/>
          <w:szCs w:val="24"/>
        </w:rPr>
        <w:t>L</w:t>
      </w:r>
      <w:r w:rsidR="00002BCF" w:rsidRPr="00002BCF">
        <w:rPr>
          <w:rFonts w:ascii="Times New Roman" w:hAnsi="Times New Roman" w:cs="Times New Roman"/>
          <w:noProof/>
          <w:sz w:val="24"/>
          <w:szCs w:val="24"/>
        </w:rPr>
        <w:t>ehmann</w:t>
      </w:r>
      <w:r w:rsidR="00673438">
        <w:rPr>
          <w:rFonts w:ascii="Times New Roman" w:hAnsi="Times New Roman" w:cs="Times New Roman"/>
          <w:noProof/>
          <w:sz w:val="24"/>
          <w:szCs w:val="24"/>
        </w:rPr>
        <w:t>, A. et al, (2013).</w:t>
      </w:r>
      <w:r w:rsidRPr="00002BCF">
        <w:rPr>
          <w:rFonts w:ascii="Times New Roman" w:hAnsi="Times New Roman" w:cs="Times New Roman"/>
          <w:noProof/>
          <w:sz w:val="24"/>
          <w:szCs w:val="24"/>
        </w:rPr>
        <w:t xml:space="preserve"> </w:t>
      </w:r>
      <w:r w:rsidRPr="00673438">
        <w:rPr>
          <w:rFonts w:ascii="Times New Roman" w:hAnsi="Times New Roman" w:cs="Times New Roman"/>
          <w:noProof/>
          <w:sz w:val="24"/>
          <w:szCs w:val="24"/>
          <w:lang w:val="en-US"/>
        </w:rPr>
        <w:t xml:space="preserve">Social aspects for sustainability assessment of technologies - Challenges for social life cycle assessment (SLCA). </w:t>
      </w:r>
      <w:r w:rsidRPr="00002BCF">
        <w:rPr>
          <w:rFonts w:ascii="Times New Roman" w:hAnsi="Times New Roman" w:cs="Times New Roman"/>
          <w:bCs/>
          <w:noProof/>
          <w:sz w:val="24"/>
          <w:szCs w:val="24"/>
        </w:rPr>
        <w:t>International Journal of Life Cycle Assessment</w:t>
      </w:r>
      <w:r w:rsidRPr="00002BCF">
        <w:rPr>
          <w:rFonts w:ascii="Times New Roman" w:hAnsi="Times New Roman" w:cs="Times New Roman"/>
          <w:noProof/>
          <w:sz w:val="24"/>
          <w:szCs w:val="24"/>
        </w:rPr>
        <w:t xml:space="preserve">, v. 18, n. 8, p. 1581–1592. </w:t>
      </w:r>
    </w:p>
    <w:p w14:paraId="2378068B" w14:textId="57590BE9" w:rsidR="001730CC" w:rsidRPr="00002BCF" w:rsidRDefault="001730CC" w:rsidP="00002BCF">
      <w:pPr>
        <w:widowControl w:val="0"/>
        <w:autoSpaceDE w:val="0"/>
        <w:autoSpaceDN w:val="0"/>
        <w:adjustRightInd w:val="0"/>
        <w:spacing w:line="240" w:lineRule="auto"/>
        <w:jc w:val="left"/>
        <w:rPr>
          <w:rFonts w:ascii="Times New Roman" w:hAnsi="Times New Roman" w:cs="Times New Roman"/>
          <w:noProof/>
          <w:sz w:val="24"/>
          <w:szCs w:val="24"/>
        </w:rPr>
      </w:pPr>
      <w:r w:rsidRPr="00002BCF">
        <w:rPr>
          <w:rFonts w:ascii="Times New Roman" w:hAnsi="Times New Roman" w:cs="Times New Roman"/>
          <w:noProof/>
          <w:sz w:val="24"/>
          <w:szCs w:val="24"/>
        </w:rPr>
        <w:t>L</w:t>
      </w:r>
      <w:r w:rsidR="00002BCF" w:rsidRPr="00002BCF">
        <w:rPr>
          <w:rFonts w:ascii="Times New Roman" w:hAnsi="Times New Roman" w:cs="Times New Roman"/>
          <w:noProof/>
          <w:sz w:val="24"/>
          <w:szCs w:val="24"/>
        </w:rPr>
        <w:t>i</w:t>
      </w:r>
      <w:r w:rsidR="00673438">
        <w:rPr>
          <w:rFonts w:ascii="Times New Roman" w:hAnsi="Times New Roman" w:cs="Times New Roman"/>
          <w:noProof/>
          <w:sz w:val="24"/>
          <w:szCs w:val="24"/>
        </w:rPr>
        <w:t>, H. et al, (2019).</w:t>
      </w:r>
      <w:r w:rsidRPr="00002BCF">
        <w:rPr>
          <w:rFonts w:ascii="Times New Roman" w:hAnsi="Times New Roman" w:cs="Times New Roman"/>
          <w:noProof/>
          <w:sz w:val="24"/>
          <w:szCs w:val="24"/>
        </w:rPr>
        <w:t xml:space="preserve"> </w:t>
      </w:r>
      <w:r w:rsidRPr="00673438">
        <w:rPr>
          <w:rFonts w:ascii="Times New Roman" w:hAnsi="Times New Roman" w:cs="Times New Roman"/>
          <w:noProof/>
          <w:sz w:val="24"/>
          <w:szCs w:val="24"/>
          <w:lang w:val="en-US"/>
        </w:rPr>
        <w:t xml:space="preserve">Social Sustainability Indicators of Public Construction Megaprojects in China. </w:t>
      </w:r>
      <w:r w:rsidRPr="00002BCF">
        <w:rPr>
          <w:rFonts w:ascii="Times New Roman" w:hAnsi="Times New Roman" w:cs="Times New Roman"/>
          <w:bCs/>
          <w:noProof/>
          <w:sz w:val="24"/>
          <w:szCs w:val="24"/>
        </w:rPr>
        <w:t>Journal of Urban Planning and Development</w:t>
      </w:r>
      <w:r w:rsidRPr="00002BCF">
        <w:rPr>
          <w:rFonts w:ascii="Times New Roman" w:hAnsi="Times New Roman" w:cs="Times New Roman"/>
          <w:noProof/>
          <w:sz w:val="24"/>
          <w:szCs w:val="24"/>
        </w:rPr>
        <w:t xml:space="preserve">, v. 144, n. 4, p. 04018034. </w:t>
      </w:r>
    </w:p>
    <w:p w14:paraId="4E9FBC7D" w14:textId="3324AF1A" w:rsidR="001730CC" w:rsidRPr="00002BCF" w:rsidRDefault="001730CC" w:rsidP="00002BCF">
      <w:pPr>
        <w:widowControl w:val="0"/>
        <w:autoSpaceDE w:val="0"/>
        <w:autoSpaceDN w:val="0"/>
        <w:adjustRightInd w:val="0"/>
        <w:spacing w:line="240" w:lineRule="auto"/>
        <w:jc w:val="left"/>
        <w:rPr>
          <w:rFonts w:ascii="Times New Roman" w:hAnsi="Times New Roman" w:cs="Times New Roman"/>
          <w:noProof/>
          <w:sz w:val="24"/>
          <w:szCs w:val="24"/>
        </w:rPr>
      </w:pPr>
      <w:r w:rsidRPr="00002BCF">
        <w:rPr>
          <w:rFonts w:ascii="Times New Roman" w:hAnsi="Times New Roman" w:cs="Times New Roman"/>
          <w:noProof/>
          <w:sz w:val="24"/>
          <w:szCs w:val="24"/>
        </w:rPr>
        <w:t>N</w:t>
      </w:r>
      <w:r w:rsidR="00002BCF" w:rsidRPr="00002BCF">
        <w:rPr>
          <w:rFonts w:ascii="Times New Roman" w:hAnsi="Times New Roman" w:cs="Times New Roman"/>
          <w:noProof/>
          <w:sz w:val="24"/>
          <w:szCs w:val="24"/>
        </w:rPr>
        <w:t>aderpajouh</w:t>
      </w:r>
      <w:r w:rsidR="00673438">
        <w:rPr>
          <w:rFonts w:ascii="Times New Roman" w:hAnsi="Times New Roman" w:cs="Times New Roman"/>
          <w:noProof/>
          <w:sz w:val="24"/>
          <w:szCs w:val="24"/>
        </w:rPr>
        <w:t>, N. et al, (2014).</w:t>
      </w:r>
      <w:r w:rsidRPr="00002BCF">
        <w:rPr>
          <w:rFonts w:ascii="Times New Roman" w:hAnsi="Times New Roman" w:cs="Times New Roman"/>
          <w:noProof/>
          <w:sz w:val="24"/>
          <w:szCs w:val="24"/>
        </w:rPr>
        <w:t xml:space="preserve"> </w:t>
      </w:r>
      <w:r w:rsidRPr="00673438">
        <w:rPr>
          <w:rFonts w:ascii="Times New Roman" w:hAnsi="Times New Roman" w:cs="Times New Roman"/>
          <w:noProof/>
          <w:sz w:val="24"/>
          <w:szCs w:val="24"/>
          <w:lang w:val="en-US"/>
        </w:rPr>
        <w:t xml:space="preserve">Modeling Social Opposition to Infrastructure Development. </w:t>
      </w:r>
      <w:r w:rsidRPr="00002BCF">
        <w:rPr>
          <w:rFonts w:ascii="Times New Roman" w:hAnsi="Times New Roman" w:cs="Times New Roman"/>
          <w:bCs/>
          <w:noProof/>
          <w:sz w:val="24"/>
          <w:szCs w:val="24"/>
        </w:rPr>
        <w:t>Journal of Construction Engineering and Management</w:t>
      </w:r>
      <w:r w:rsidRPr="00002BCF">
        <w:rPr>
          <w:rFonts w:ascii="Times New Roman" w:hAnsi="Times New Roman" w:cs="Times New Roman"/>
          <w:noProof/>
          <w:sz w:val="24"/>
          <w:szCs w:val="24"/>
        </w:rPr>
        <w:t xml:space="preserve">, v. 140, n. 8, p. 04014029. </w:t>
      </w:r>
    </w:p>
    <w:p w14:paraId="610EF7E0" w14:textId="41E275C7" w:rsidR="001730CC" w:rsidRPr="00002BCF" w:rsidRDefault="001730CC" w:rsidP="00002BCF">
      <w:pPr>
        <w:widowControl w:val="0"/>
        <w:autoSpaceDE w:val="0"/>
        <w:autoSpaceDN w:val="0"/>
        <w:adjustRightInd w:val="0"/>
        <w:spacing w:line="240" w:lineRule="auto"/>
        <w:jc w:val="left"/>
        <w:rPr>
          <w:rFonts w:ascii="Times New Roman" w:hAnsi="Times New Roman" w:cs="Times New Roman"/>
          <w:noProof/>
          <w:sz w:val="24"/>
          <w:szCs w:val="24"/>
        </w:rPr>
      </w:pPr>
      <w:r w:rsidRPr="00002BCF">
        <w:rPr>
          <w:rFonts w:ascii="Times New Roman" w:hAnsi="Times New Roman" w:cs="Times New Roman"/>
          <w:noProof/>
          <w:sz w:val="24"/>
          <w:szCs w:val="24"/>
        </w:rPr>
        <w:t>N</w:t>
      </w:r>
      <w:r w:rsidR="00002BCF" w:rsidRPr="00002BCF">
        <w:rPr>
          <w:rFonts w:ascii="Times New Roman" w:hAnsi="Times New Roman" w:cs="Times New Roman"/>
          <w:noProof/>
          <w:sz w:val="24"/>
          <w:szCs w:val="24"/>
        </w:rPr>
        <w:t>ijkamp</w:t>
      </w:r>
      <w:r w:rsidRPr="00002BCF">
        <w:rPr>
          <w:rFonts w:ascii="Times New Roman" w:hAnsi="Times New Roman" w:cs="Times New Roman"/>
          <w:noProof/>
          <w:sz w:val="24"/>
          <w:szCs w:val="24"/>
        </w:rPr>
        <w:t>, P.; S</w:t>
      </w:r>
      <w:r w:rsidR="00002BCF" w:rsidRPr="00002BCF">
        <w:rPr>
          <w:rFonts w:ascii="Times New Roman" w:hAnsi="Times New Roman" w:cs="Times New Roman"/>
          <w:noProof/>
          <w:sz w:val="24"/>
          <w:szCs w:val="24"/>
        </w:rPr>
        <w:t>oeteman</w:t>
      </w:r>
      <w:r w:rsidR="00673438">
        <w:rPr>
          <w:rFonts w:ascii="Times New Roman" w:hAnsi="Times New Roman" w:cs="Times New Roman"/>
          <w:noProof/>
          <w:sz w:val="24"/>
          <w:szCs w:val="24"/>
        </w:rPr>
        <w:t>, F, (1988).</w:t>
      </w:r>
      <w:r w:rsidRPr="00002BCF">
        <w:rPr>
          <w:rFonts w:ascii="Times New Roman" w:hAnsi="Times New Roman" w:cs="Times New Roman"/>
          <w:noProof/>
          <w:sz w:val="24"/>
          <w:szCs w:val="24"/>
        </w:rPr>
        <w:t xml:space="preserve"> </w:t>
      </w:r>
      <w:r w:rsidRPr="00673438">
        <w:rPr>
          <w:rFonts w:ascii="Times New Roman" w:hAnsi="Times New Roman" w:cs="Times New Roman"/>
          <w:noProof/>
          <w:sz w:val="24"/>
          <w:szCs w:val="24"/>
          <w:lang w:val="en-US"/>
        </w:rPr>
        <w:t xml:space="preserve">Ecologically Sustainable Economic Development: Key Issues for Strategic Environmental Management. </w:t>
      </w:r>
      <w:r w:rsidRPr="00002BCF">
        <w:rPr>
          <w:rFonts w:ascii="Times New Roman" w:hAnsi="Times New Roman" w:cs="Times New Roman"/>
          <w:bCs/>
          <w:noProof/>
          <w:sz w:val="24"/>
          <w:szCs w:val="24"/>
        </w:rPr>
        <w:t>International Journal of Social Economics</w:t>
      </w:r>
      <w:r w:rsidRPr="00002BCF">
        <w:rPr>
          <w:rFonts w:ascii="Times New Roman" w:hAnsi="Times New Roman" w:cs="Times New Roman"/>
          <w:noProof/>
          <w:sz w:val="24"/>
          <w:szCs w:val="24"/>
        </w:rPr>
        <w:t xml:space="preserve">, v. 15. </w:t>
      </w:r>
    </w:p>
    <w:p w14:paraId="16483EDE" w14:textId="593B3513" w:rsidR="001730CC" w:rsidRPr="00002BCF" w:rsidRDefault="001730CC" w:rsidP="00002BCF">
      <w:pPr>
        <w:widowControl w:val="0"/>
        <w:autoSpaceDE w:val="0"/>
        <w:autoSpaceDN w:val="0"/>
        <w:adjustRightInd w:val="0"/>
        <w:spacing w:line="240" w:lineRule="auto"/>
        <w:jc w:val="left"/>
        <w:rPr>
          <w:rFonts w:ascii="Times New Roman" w:hAnsi="Times New Roman" w:cs="Times New Roman"/>
          <w:noProof/>
          <w:sz w:val="24"/>
          <w:szCs w:val="24"/>
        </w:rPr>
      </w:pPr>
      <w:r w:rsidRPr="00002BCF">
        <w:rPr>
          <w:rFonts w:ascii="Times New Roman" w:hAnsi="Times New Roman" w:cs="Times New Roman"/>
          <w:noProof/>
          <w:sz w:val="24"/>
          <w:szCs w:val="24"/>
        </w:rPr>
        <w:t>O</w:t>
      </w:r>
      <w:r w:rsidR="00673438" w:rsidRPr="00002BCF">
        <w:rPr>
          <w:rFonts w:ascii="Times New Roman" w:hAnsi="Times New Roman" w:cs="Times New Roman"/>
          <w:noProof/>
          <w:sz w:val="24"/>
          <w:szCs w:val="24"/>
        </w:rPr>
        <w:t>hsas</w:t>
      </w:r>
      <w:r w:rsidRPr="00002BCF">
        <w:rPr>
          <w:rFonts w:ascii="Times New Roman" w:hAnsi="Times New Roman" w:cs="Times New Roman"/>
          <w:noProof/>
          <w:sz w:val="24"/>
          <w:szCs w:val="24"/>
        </w:rPr>
        <w:t xml:space="preserve"> P</w:t>
      </w:r>
      <w:r w:rsidR="00673438" w:rsidRPr="00002BCF">
        <w:rPr>
          <w:rFonts w:ascii="Times New Roman" w:hAnsi="Times New Roman" w:cs="Times New Roman"/>
          <w:noProof/>
          <w:sz w:val="24"/>
          <w:szCs w:val="24"/>
        </w:rPr>
        <w:t>roject</w:t>
      </w:r>
      <w:r w:rsidRPr="00002BCF">
        <w:rPr>
          <w:rFonts w:ascii="Times New Roman" w:hAnsi="Times New Roman" w:cs="Times New Roman"/>
          <w:noProof/>
          <w:sz w:val="24"/>
          <w:szCs w:val="24"/>
        </w:rPr>
        <w:t xml:space="preserve"> G</w:t>
      </w:r>
      <w:r w:rsidR="00673438" w:rsidRPr="00002BCF">
        <w:rPr>
          <w:rFonts w:ascii="Times New Roman" w:hAnsi="Times New Roman" w:cs="Times New Roman"/>
          <w:noProof/>
          <w:sz w:val="24"/>
          <w:szCs w:val="24"/>
        </w:rPr>
        <w:t>roup</w:t>
      </w:r>
      <w:r w:rsidR="00673438">
        <w:rPr>
          <w:rFonts w:ascii="Times New Roman" w:hAnsi="Times New Roman" w:cs="Times New Roman"/>
          <w:noProof/>
          <w:sz w:val="24"/>
          <w:szCs w:val="24"/>
        </w:rPr>
        <w:t>, (2007)</w:t>
      </w:r>
      <w:r w:rsidRPr="00002BCF">
        <w:rPr>
          <w:rFonts w:ascii="Times New Roman" w:hAnsi="Times New Roman" w:cs="Times New Roman"/>
          <w:noProof/>
          <w:sz w:val="24"/>
          <w:szCs w:val="24"/>
        </w:rPr>
        <w:t xml:space="preserve">. OHSAS 18001:2007 Sistema de Gestión en Seguridad y Salud Ocupacional – Requisitos. </w:t>
      </w:r>
      <w:r w:rsidRPr="00002BCF">
        <w:rPr>
          <w:rFonts w:ascii="Times New Roman" w:hAnsi="Times New Roman" w:cs="Times New Roman"/>
          <w:bCs/>
          <w:noProof/>
          <w:sz w:val="24"/>
          <w:szCs w:val="24"/>
        </w:rPr>
        <w:t>OHSAS Project group</w:t>
      </w:r>
      <w:r w:rsidRPr="00002BCF">
        <w:rPr>
          <w:rFonts w:ascii="Times New Roman" w:hAnsi="Times New Roman" w:cs="Times New Roman"/>
          <w:noProof/>
          <w:sz w:val="24"/>
          <w:szCs w:val="24"/>
        </w:rPr>
        <w:t xml:space="preserve">. </w:t>
      </w:r>
    </w:p>
    <w:p w14:paraId="6CA0931A" w14:textId="56CACD12" w:rsidR="001730CC" w:rsidRPr="00673438" w:rsidRDefault="00673438"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Pr>
          <w:rFonts w:ascii="Times New Roman" w:hAnsi="Times New Roman" w:cs="Times New Roman"/>
          <w:noProof/>
          <w:sz w:val="24"/>
          <w:szCs w:val="24"/>
        </w:rPr>
        <w:t>ONU, (1987)</w:t>
      </w:r>
      <w:r w:rsidR="001730CC" w:rsidRPr="00002BCF">
        <w:rPr>
          <w:rFonts w:ascii="Times New Roman" w:hAnsi="Times New Roman" w:cs="Times New Roman"/>
          <w:noProof/>
          <w:sz w:val="24"/>
          <w:szCs w:val="24"/>
        </w:rPr>
        <w:t xml:space="preserve">. Brutland Report: Our Common Future. </w:t>
      </w:r>
      <w:r w:rsidR="001730CC" w:rsidRPr="00673438">
        <w:rPr>
          <w:rFonts w:ascii="Times New Roman" w:hAnsi="Times New Roman" w:cs="Times New Roman"/>
          <w:bCs/>
          <w:noProof/>
          <w:sz w:val="24"/>
          <w:szCs w:val="24"/>
          <w:lang w:val="en-US"/>
        </w:rPr>
        <w:t>World Commission on Environment and Development</w:t>
      </w:r>
      <w:r w:rsidR="001730CC" w:rsidRPr="00673438">
        <w:rPr>
          <w:rFonts w:ascii="Times New Roman" w:hAnsi="Times New Roman" w:cs="Times New Roman"/>
          <w:noProof/>
          <w:sz w:val="24"/>
          <w:szCs w:val="24"/>
          <w:lang w:val="en-US"/>
        </w:rPr>
        <w:t xml:space="preserve">. </w:t>
      </w:r>
    </w:p>
    <w:p w14:paraId="67383F15" w14:textId="4117E776" w:rsidR="001730CC" w:rsidRPr="00673438" w:rsidRDefault="001730CC"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002BCF">
        <w:rPr>
          <w:rFonts w:ascii="Times New Roman" w:hAnsi="Times New Roman" w:cs="Times New Roman"/>
          <w:noProof/>
          <w:sz w:val="24"/>
          <w:szCs w:val="24"/>
        </w:rPr>
        <w:t>R</w:t>
      </w:r>
      <w:r w:rsidR="00002BCF" w:rsidRPr="00002BCF">
        <w:rPr>
          <w:rFonts w:ascii="Times New Roman" w:hAnsi="Times New Roman" w:cs="Times New Roman"/>
          <w:noProof/>
          <w:sz w:val="24"/>
          <w:szCs w:val="24"/>
        </w:rPr>
        <w:t>aupp</w:t>
      </w:r>
      <w:r w:rsidRPr="00002BCF">
        <w:rPr>
          <w:rFonts w:ascii="Times New Roman" w:hAnsi="Times New Roman" w:cs="Times New Roman"/>
          <w:noProof/>
          <w:sz w:val="24"/>
          <w:szCs w:val="24"/>
        </w:rPr>
        <w:t>, F. M.; B</w:t>
      </w:r>
      <w:r w:rsidR="00002BCF" w:rsidRPr="00002BCF">
        <w:rPr>
          <w:rFonts w:ascii="Times New Roman" w:hAnsi="Times New Roman" w:cs="Times New Roman"/>
          <w:noProof/>
          <w:sz w:val="24"/>
          <w:szCs w:val="24"/>
        </w:rPr>
        <w:t>euren</w:t>
      </w:r>
      <w:r w:rsidR="00673438">
        <w:rPr>
          <w:rFonts w:ascii="Times New Roman" w:hAnsi="Times New Roman" w:cs="Times New Roman"/>
          <w:noProof/>
          <w:sz w:val="24"/>
          <w:szCs w:val="24"/>
        </w:rPr>
        <w:t>, I. M, (2006).</w:t>
      </w:r>
      <w:r w:rsidRPr="00002BCF">
        <w:rPr>
          <w:rFonts w:ascii="Times New Roman" w:hAnsi="Times New Roman" w:cs="Times New Roman"/>
          <w:noProof/>
          <w:sz w:val="24"/>
          <w:szCs w:val="24"/>
        </w:rPr>
        <w:t xml:space="preserve"> Metodologia da Pesquisa aplicável às ciências sociais. In: ATLAS (Ed.). . </w:t>
      </w:r>
      <w:r w:rsidRPr="00002BCF">
        <w:rPr>
          <w:rFonts w:ascii="Times New Roman" w:hAnsi="Times New Roman" w:cs="Times New Roman"/>
          <w:bCs/>
          <w:noProof/>
          <w:sz w:val="24"/>
          <w:szCs w:val="24"/>
        </w:rPr>
        <w:t>Como elaborar trabalhos monográficos em contabilidade</w:t>
      </w:r>
      <w:r w:rsidRPr="00002BCF">
        <w:rPr>
          <w:rFonts w:ascii="Times New Roman" w:hAnsi="Times New Roman" w:cs="Times New Roman"/>
          <w:noProof/>
          <w:sz w:val="24"/>
          <w:szCs w:val="24"/>
        </w:rPr>
        <w:t xml:space="preserve">. </w:t>
      </w:r>
      <w:r w:rsidRPr="00673438">
        <w:rPr>
          <w:rFonts w:ascii="Times New Roman" w:hAnsi="Times New Roman" w:cs="Times New Roman"/>
          <w:noProof/>
          <w:sz w:val="24"/>
          <w:szCs w:val="24"/>
          <w:lang w:val="en-US"/>
        </w:rPr>
        <w:t>3</w:t>
      </w:r>
      <w:r w:rsidRPr="00673438">
        <w:rPr>
          <w:rFonts w:ascii="Times New Roman" w:hAnsi="Times New Roman" w:cs="Times New Roman"/>
          <w:noProof/>
          <w:sz w:val="24"/>
          <w:szCs w:val="24"/>
          <w:vertAlign w:val="superscript"/>
          <w:lang w:val="en-US"/>
        </w:rPr>
        <w:t>o</w:t>
      </w:r>
      <w:r w:rsidR="00673438" w:rsidRPr="00673438">
        <w:rPr>
          <w:rFonts w:ascii="Times New Roman" w:hAnsi="Times New Roman" w:cs="Times New Roman"/>
          <w:noProof/>
          <w:sz w:val="24"/>
          <w:szCs w:val="24"/>
          <w:lang w:val="en-US"/>
        </w:rPr>
        <w:t xml:space="preserve"> ed.</w:t>
      </w:r>
      <w:r w:rsidRPr="00673438">
        <w:rPr>
          <w:rFonts w:ascii="Times New Roman" w:hAnsi="Times New Roman" w:cs="Times New Roman"/>
          <w:noProof/>
          <w:sz w:val="24"/>
          <w:szCs w:val="24"/>
          <w:lang w:val="en-US"/>
        </w:rPr>
        <w:t xml:space="preserve"> Atlas. </w:t>
      </w:r>
    </w:p>
    <w:p w14:paraId="73D90588" w14:textId="63901A5A" w:rsidR="001730CC" w:rsidRPr="00002BCF" w:rsidRDefault="001730CC" w:rsidP="00002BCF">
      <w:pPr>
        <w:widowControl w:val="0"/>
        <w:autoSpaceDE w:val="0"/>
        <w:autoSpaceDN w:val="0"/>
        <w:adjustRightInd w:val="0"/>
        <w:spacing w:line="240" w:lineRule="auto"/>
        <w:jc w:val="left"/>
        <w:rPr>
          <w:rFonts w:ascii="Times New Roman" w:hAnsi="Times New Roman" w:cs="Times New Roman"/>
          <w:noProof/>
          <w:sz w:val="24"/>
          <w:szCs w:val="24"/>
        </w:rPr>
      </w:pPr>
      <w:r w:rsidRPr="00673438">
        <w:rPr>
          <w:rFonts w:ascii="Times New Roman" w:hAnsi="Times New Roman" w:cs="Times New Roman"/>
          <w:noProof/>
          <w:sz w:val="24"/>
          <w:szCs w:val="24"/>
          <w:lang w:val="en-US"/>
        </w:rPr>
        <w:t>S</w:t>
      </w:r>
      <w:r w:rsidR="00002BCF" w:rsidRPr="00673438">
        <w:rPr>
          <w:rFonts w:ascii="Times New Roman" w:hAnsi="Times New Roman" w:cs="Times New Roman"/>
          <w:noProof/>
          <w:sz w:val="24"/>
          <w:szCs w:val="24"/>
          <w:lang w:val="en-US"/>
        </w:rPr>
        <w:t>aid</w:t>
      </w:r>
      <w:r w:rsidRPr="00673438">
        <w:rPr>
          <w:rFonts w:ascii="Times New Roman" w:hAnsi="Times New Roman" w:cs="Times New Roman"/>
          <w:noProof/>
          <w:sz w:val="24"/>
          <w:szCs w:val="24"/>
          <w:lang w:val="en-US"/>
        </w:rPr>
        <w:t>, I.; O</w:t>
      </w:r>
      <w:r w:rsidR="00002BCF" w:rsidRPr="00673438">
        <w:rPr>
          <w:rFonts w:ascii="Times New Roman" w:hAnsi="Times New Roman" w:cs="Times New Roman"/>
          <w:noProof/>
          <w:sz w:val="24"/>
          <w:szCs w:val="24"/>
          <w:lang w:val="en-US"/>
        </w:rPr>
        <w:t>sman</w:t>
      </w:r>
      <w:r w:rsidRPr="00673438">
        <w:rPr>
          <w:rFonts w:ascii="Times New Roman" w:hAnsi="Times New Roman" w:cs="Times New Roman"/>
          <w:noProof/>
          <w:sz w:val="24"/>
          <w:szCs w:val="24"/>
          <w:lang w:val="en-US"/>
        </w:rPr>
        <w:t>, O.; S</w:t>
      </w:r>
      <w:r w:rsidR="00002BCF" w:rsidRPr="00673438">
        <w:rPr>
          <w:rFonts w:ascii="Times New Roman" w:hAnsi="Times New Roman" w:cs="Times New Roman"/>
          <w:noProof/>
          <w:sz w:val="24"/>
          <w:szCs w:val="24"/>
          <w:lang w:val="en-US"/>
        </w:rPr>
        <w:t>hafiei</w:t>
      </w:r>
      <w:r w:rsidR="00673438">
        <w:rPr>
          <w:rFonts w:ascii="Times New Roman" w:hAnsi="Times New Roman" w:cs="Times New Roman"/>
          <w:noProof/>
          <w:sz w:val="24"/>
          <w:szCs w:val="24"/>
          <w:lang w:val="en-US"/>
        </w:rPr>
        <w:t>, M, (2009).</w:t>
      </w:r>
      <w:r w:rsidRPr="00673438">
        <w:rPr>
          <w:rFonts w:ascii="Times New Roman" w:hAnsi="Times New Roman" w:cs="Times New Roman"/>
          <w:noProof/>
          <w:sz w:val="24"/>
          <w:szCs w:val="24"/>
          <w:lang w:val="en-US"/>
        </w:rPr>
        <w:t xml:space="preserve"> Sustainability in the Housing Development Among Construction Industry Players in Malaysia. </w:t>
      </w:r>
      <w:r w:rsidR="00673438">
        <w:rPr>
          <w:rFonts w:ascii="Times New Roman" w:hAnsi="Times New Roman" w:cs="Times New Roman"/>
          <w:bCs/>
          <w:noProof/>
          <w:sz w:val="24"/>
          <w:szCs w:val="24"/>
        </w:rPr>
        <w:t>The Journal of Global</w:t>
      </w:r>
      <w:r w:rsidRPr="00002BCF">
        <w:rPr>
          <w:rFonts w:ascii="Times New Roman" w:hAnsi="Times New Roman" w:cs="Times New Roman"/>
          <w:noProof/>
          <w:sz w:val="24"/>
          <w:szCs w:val="24"/>
        </w:rPr>
        <w:t xml:space="preserve">. </w:t>
      </w:r>
    </w:p>
    <w:p w14:paraId="67B62ABD" w14:textId="68FB5BD0" w:rsidR="001730CC" w:rsidRPr="00002BCF" w:rsidRDefault="001730CC" w:rsidP="00002BCF">
      <w:pPr>
        <w:widowControl w:val="0"/>
        <w:autoSpaceDE w:val="0"/>
        <w:autoSpaceDN w:val="0"/>
        <w:adjustRightInd w:val="0"/>
        <w:spacing w:line="240" w:lineRule="auto"/>
        <w:jc w:val="left"/>
        <w:rPr>
          <w:rFonts w:ascii="Times New Roman" w:hAnsi="Times New Roman" w:cs="Times New Roman"/>
          <w:noProof/>
          <w:sz w:val="24"/>
          <w:szCs w:val="24"/>
        </w:rPr>
      </w:pPr>
      <w:r w:rsidRPr="00002BCF">
        <w:rPr>
          <w:rFonts w:ascii="Times New Roman" w:hAnsi="Times New Roman" w:cs="Times New Roman"/>
          <w:noProof/>
          <w:sz w:val="24"/>
          <w:szCs w:val="24"/>
        </w:rPr>
        <w:lastRenderedPageBreak/>
        <w:t>S</w:t>
      </w:r>
      <w:r w:rsidR="00002BCF" w:rsidRPr="00002BCF">
        <w:rPr>
          <w:rFonts w:ascii="Times New Roman" w:hAnsi="Times New Roman" w:cs="Times New Roman"/>
          <w:noProof/>
          <w:sz w:val="24"/>
          <w:szCs w:val="24"/>
        </w:rPr>
        <w:t>ierra</w:t>
      </w:r>
      <w:r w:rsidRPr="00002BCF">
        <w:rPr>
          <w:rFonts w:ascii="Times New Roman" w:hAnsi="Times New Roman" w:cs="Times New Roman"/>
          <w:noProof/>
          <w:sz w:val="24"/>
          <w:szCs w:val="24"/>
        </w:rPr>
        <w:t>, L. A.; P</w:t>
      </w:r>
      <w:r w:rsidR="00002BCF" w:rsidRPr="00002BCF">
        <w:rPr>
          <w:rFonts w:ascii="Times New Roman" w:hAnsi="Times New Roman" w:cs="Times New Roman"/>
          <w:noProof/>
          <w:sz w:val="24"/>
          <w:szCs w:val="24"/>
        </w:rPr>
        <w:t>ellicer</w:t>
      </w:r>
      <w:r w:rsidRPr="00002BCF">
        <w:rPr>
          <w:rFonts w:ascii="Times New Roman" w:hAnsi="Times New Roman" w:cs="Times New Roman"/>
          <w:noProof/>
          <w:sz w:val="24"/>
          <w:szCs w:val="24"/>
        </w:rPr>
        <w:t>, E.; Y</w:t>
      </w:r>
      <w:r w:rsidR="00002BCF" w:rsidRPr="00002BCF">
        <w:rPr>
          <w:rFonts w:ascii="Times New Roman" w:hAnsi="Times New Roman" w:cs="Times New Roman"/>
          <w:noProof/>
          <w:sz w:val="24"/>
          <w:szCs w:val="24"/>
        </w:rPr>
        <w:t>epes</w:t>
      </w:r>
      <w:r w:rsidR="00673438">
        <w:rPr>
          <w:rFonts w:ascii="Times New Roman" w:hAnsi="Times New Roman" w:cs="Times New Roman"/>
          <w:noProof/>
          <w:sz w:val="24"/>
          <w:szCs w:val="24"/>
        </w:rPr>
        <w:t>, V, (2015)</w:t>
      </w:r>
      <w:r w:rsidRPr="00002BCF">
        <w:rPr>
          <w:rFonts w:ascii="Times New Roman" w:hAnsi="Times New Roman" w:cs="Times New Roman"/>
          <w:noProof/>
          <w:sz w:val="24"/>
          <w:szCs w:val="24"/>
        </w:rPr>
        <w:t xml:space="preserve"> Social Sustainability in the Lifecycle of Chilean Public Infrastructure. </w:t>
      </w:r>
      <w:r w:rsidRPr="00002BCF">
        <w:rPr>
          <w:rFonts w:ascii="Times New Roman" w:hAnsi="Times New Roman" w:cs="Times New Roman"/>
          <w:bCs/>
          <w:noProof/>
          <w:sz w:val="24"/>
          <w:szCs w:val="24"/>
        </w:rPr>
        <w:t>Journal of Construction Engineering and Management</w:t>
      </w:r>
      <w:r w:rsidRPr="00002BCF">
        <w:rPr>
          <w:rFonts w:ascii="Times New Roman" w:hAnsi="Times New Roman" w:cs="Times New Roman"/>
          <w:noProof/>
          <w:sz w:val="24"/>
          <w:szCs w:val="24"/>
        </w:rPr>
        <w:t xml:space="preserve">, v. 142, n. 5, p. 05015020. </w:t>
      </w:r>
    </w:p>
    <w:p w14:paraId="52928A12" w14:textId="2A060752" w:rsidR="001730CC" w:rsidRPr="00673438" w:rsidRDefault="001730CC" w:rsidP="00002BCF">
      <w:pPr>
        <w:widowControl w:val="0"/>
        <w:autoSpaceDE w:val="0"/>
        <w:autoSpaceDN w:val="0"/>
        <w:adjustRightInd w:val="0"/>
        <w:spacing w:line="240" w:lineRule="auto"/>
        <w:jc w:val="left"/>
        <w:rPr>
          <w:rFonts w:ascii="Times New Roman" w:hAnsi="Times New Roman" w:cs="Times New Roman"/>
          <w:noProof/>
          <w:sz w:val="24"/>
          <w:szCs w:val="24"/>
          <w:lang w:val="en-US"/>
        </w:rPr>
      </w:pPr>
      <w:r w:rsidRPr="00673438">
        <w:rPr>
          <w:rFonts w:ascii="Times New Roman" w:hAnsi="Times New Roman" w:cs="Times New Roman"/>
          <w:noProof/>
          <w:sz w:val="24"/>
          <w:szCs w:val="24"/>
          <w:lang w:val="en-US"/>
        </w:rPr>
        <w:t>US C</w:t>
      </w:r>
      <w:r w:rsidR="00002BCF" w:rsidRPr="00673438">
        <w:rPr>
          <w:rFonts w:ascii="Times New Roman" w:hAnsi="Times New Roman" w:cs="Times New Roman"/>
          <w:noProof/>
          <w:sz w:val="24"/>
          <w:szCs w:val="24"/>
          <w:lang w:val="en-US"/>
        </w:rPr>
        <w:t>ongress</w:t>
      </w:r>
      <w:r w:rsidR="00673438" w:rsidRPr="00673438">
        <w:rPr>
          <w:rFonts w:ascii="Times New Roman" w:hAnsi="Times New Roman" w:cs="Times New Roman"/>
          <w:noProof/>
          <w:sz w:val="24"/>
          <w:szCs w:val="24"/>
          <w:lang w:val="en-US"/>
        </w:rPr>
        <w:t>, (1969).</w:t>
      </w:r>
      <w:r w:rsidRPr="00673438">
        <w:rPr>
          <w:rFonts w:ascii="Times New Roman" w:hAnsi="Times New Roman" w:cs="Times New Roman"/>
          <w:noProof/>
          <w:sz w:val="24"/>
          <w:szCs w:val="24"/>
          <w:lang w:val="en-US"/>
        </w:rPr>
        <w:t xml:space="preserve"> National Environmental Policy Act of 1969 , as amended. </w:t>
      </w:r>
      <w:r w:rsidRPr="00673438">
        <w:rPr>
          <w:rFonts w:ascii="Times New Roman" w:hAnsi="Times New Roman" w:cs="Times New Roman"/>
          <w:bCs/>
          <w:noProof/>
          <w:sz w:val="24"/>
          <w:szCs w:val="24"/>
          <w:lang w:val="en-US"/>
        </w:rPr>
        <w:t>Bill</w:t>
      </w:r>
      <w:r w:rsidR="00673438">
        <w:rPr>
          <w:rFonts w:ascii="Times New Roman" w:hAnsi="Times New Roman" w:cs="Times New Roman"/>
          <w:noProof/>
          <w:sz w:val="24"/>
          <w:szCs w:val="24"/>
          <w:lang w:val="en-US"/>
        </w:rPr>
        <w:t>, v. 4, p. 9</w:t>
      </w:r>
      <w:r w:rsidRPr="00673438">
        <w:rPr>
          <w:rFonts w:ascii="Times New Roman" w:hAnsi="Times New Roman" w:cs="Times New Roman"/>
          <w:noProof/>
          <w:sz w:val="24"/>
          <w:szCs w:val="24"/>
          <w:lang w:val="en-US"/>
        </w:rPr>
        <w:t xml:space="preserve">. </w:t>
      </w:r>
    </w:p>
    <w:p w14:paraId="5AC7C694" w14:textId="38DC1EE7" w:rsidR="001730CC" w:rsidRPr="00002BCF" w:rsidRDefault="001730CC" w:rsidP="00002BCF">
      <w:pPr>
        <w:widowControl w:val="0"/>
        <w:autoSpaceDE w:val="0"/>
        <w:autoSpaceDN w:val="0"/>
        <w:adjustRightInd w:val="0"/>
        <w:spacing w:line="240" w:lineRule="auto"/>
        <w:jc w:val="left"/>
        <w:rPr>
          <w:rFonts w:ascii="Times New Roman" w:hAnsi="Times New Roman" w:cs="Times New Roman"/>
          <w:noProof/>
          <w:sz w:val="24"/>
        </w:rPr>
      </w:pPr>
      <w:r w:rsidRPr="00673438">
        <w:rPr>
          <w:rFonts w:ascii="Times New Roman" w:hAnsi="Times New Roman" w:cs="Times New Roman"/>
          <w:noProof/>
          <w:sz w:val="24"/>
          <w:szCs w:val="24"/>
          <w:lang w:val="en-US"/>
        </w:rPr>
        <w:t>W</w:t>
      </w:r>
      <w:r w:rsidR="00002BCF" w:rsidRPr="00673438">
        <w:rPr>
          <w:rFonts w:ascii="Times New Roman" w:hAnsi="Times New Roman" w:cs="Times New Roman"/>
          <w:noProof/>
          <w:sz w:val="24"/>
          <w:szCs w:val="24"/>
          <w:lang w:val="en-US"/>
        </w:rPr>
        <w:t>ood</w:t>
      </w:r>
      <w:r w:rsidRPr="00673438">
        <w:rPr>
          <w:rFonts w:ascii="Times New Roman" w:hAnsi="Times New Roman" w:cs="Times New Roman"/>
          <w:noProof/>
          <w:sz w:val="24"/>
          <w:szCs w:val="24"/>
          <w:lang w:val="en-US"/>
        </w:rPr>
        <w:t>, G.; M</w:t>
      </w:r>
      <w:r w:rsidR="00002BCF" w:rsidRPr="00673438">
        <w:rPr>
          <w:rFonts w:ascii="Times New Roman" w:hAnsi="Times New Roman" w:cs="Times New Roman"/>
          <w:noProof/>
          <w:sz w:val="24"/>
          <w:szCs w:val="24"/>
          <w:lang w:val="en-US"/>
        </w:rPr>
        <w:t>c</w:t>
      </w:r>
      <w:r w:rsidRPr="00673438">
        <w:rPr>
          <w:rFonts w:ascii="Times New Roman" w:hAnsi="Times New Roman" w:cs="Times New Roman"/>
          <w:noProof/>
          <w:sz w:val="24"/>
          <w:szCs w:val="24"/>
          <w:lang w:val="en-US"/>
        </w:rPr>
        <w:t>D</w:t>
      </w:r>
      <w:r w:rsidR="00002BCF" w:rsidRPr="00673438">
        <w:rPr>
          <w:rFonts w:ascii="Times New Roman" w:hAnsi="Times New Roman" w:cs="Times New Roman"/>
          <w:noProof/>
          <w:sz w:val="24"/>
          <w:szCs w:val="24"/>
          <w:lang w:val="en-US"/>
        </w:rPr>
        <w:t>ermott</w:t>
      </w:r>
      <w:r w:rsidRPr="00673438">
        <w:rPr>
          <w:rFonts w:ascii="Times New Roman" w:hAnsi="Times New Roman" w:cs="Times New Roman"/>
          <w:noProof/>
          <w:sz w:val="24"/>
          <w:szCs w:val="24"/>
          <w:lang w:val="en-US"/>
        </w:rPr>
        <w:t>, P.; S</w:t>
      </w:r>
      <w:r w:rsidR="00673438" w:rsidRPr="00673438">
        <w:rPr>
          <w:rFonts w:ascii="Times New Roman" w:hAnsi="Times New Roman" w:cs="Times New Roman"/>
          <w:noProof/>
          <w:sz w:val="24"/>
          <w:szCs w:val="24"/>
          <w:lang w:val="en-US"/>
        </w:rPr>
        <w:t>wan</w:t>
      </w:r>
      <w:r w:rsidR="00673438">
        <w:rPr>
          <w:rFonts w:ascii="Times New Roman" w:hAnsi="Times New Roman" w:cs="Times New Roman"/>
          <w:noProof/>
          <w:sz w:val="24"/>
          <w:szCs w:val="24"/>
          <w:lang w:val="en-US"/>
        </w:rPr>
        <w:t>, W, (2002).</w:t>
      </w:r>
      <w:r w:rsidRPr="00673438">
        <w:rPr>
          <w:rFonts w:ascii="Times New Roman" w:hAnsi="Times New Roman" w:cs="Times New Roman"/>
          <w:noProof/>
          <w:sz w:val="24"/>
          <w:szCs w:val="24"/>
          <w:lang w:val="en-US"/>
        </w:rPr>
        <w:t xml:space="preserve"> The ethical benefits of trust‐based partnering: the example of the construction industry. </w:t>
      </w:r>
      <w:r w:rsidRPr="00002BCF">
        <w:rPr>
          <w:rFonts w:ascii="Times New Roman" w:hAnsi="Times New Roman" w:cs="Times New Roman"/>
          <w:bCs/>
          <w:noProof/>
          <w:sz w:val="24"/>
          <w:szCs w:val="24"/>
        </w:rPr>
        <w:t>Business Ethics: A European Review</w:t>
      </w:r>
      <w:r w:rsidRPr="00002BCF">
        <w:rPr>
          <w:rFonts w:ascii="Times New Roman" w:hAnsi="Times New Roman" w:cs="Times New Roman"/>
          <w:noProof/>
          <w:sz w:val="24"/>
          <w:szCs w:val="24"/>
        </w:rPr>
        <w:t xml:space="preserve">, v. 11, n. 1, p. 4–13. </w:t>
      </w:r>
      <w:bookmarkStart w:id="6" w:name="_GoBack"/>
      <w:bookmarkEnd w:id="6"/>
    </w:p>
    <w:p w14:paraId="42EF7F63" w14:textId="5937D257" w:rsidR="002D2795" w:rsidRPr="002E467B" w:rsidRDefault="002D2795" w:rsidP="00002BCF">
      <w:pPr>
        <w:widowControl w:val="0"/>
        <w:autoSpaceDE w:val="0"/>
        <w:autoSpaceDN w:val="0"/>
        <w:adjustRightInd w:val="0"/>
        <w:spacing w:line="240" w:lineRule="auto"/>
        <w:jc w:val="left"/>
        <w:rPr>
          <w:rFonts w:ascii="Times New Roman" w:hAnsi="Times New Roman" w:cs="Times New Roman"/>
          <w:b/>
          <w:sz w:val="24"/>
          <w:szCs w:val="24"/>
        </w:rPr>
      </w:pPr>
      <w:r w:rsidRPr="00002BCF">
        <w:rPr>
          <w:rFonts w:ascii="Times New Roman" w:hAnsi="Times New Roman" w:cs="Times New Roman"/>
          <w:sz w:val="24"/>
          <w:szCs w:val="24"/>
        </w:rPr>
        <w:fldChar w:fldCharType="end"/>
      </w:r>
    </w:p>
    <w:sectPr w:rsidR="002D2795" w:rsidRPr="002E467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93F46" w14:textId="77777777" w:rsidR="00814F30" w:rsidRDefault="00814F30" w:rsidP="00436224">
      <w:pPr>
        <w:spacing w:after="0" w:line="240" w:lineRule="auto"/>
      </w:pPr>
      <w:r>
        <w:separator/>
      </w:r>
    </w:p>
  </w:endnote>
  <w:endnote w:type="continuationSeparator" w:id="0">
    <w:p w14:paraId="00EA77D7" w14:textId="77777777" w:rsidR="00814F30" w:rsidRDefault="00814F30"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54CCB" w14:textId="77777777" w:rsidR="00814F30" w:rsidRDefault="00814F30" w:rsidP="00436224">
      <w:pPr>
        <w:spacing w:after="0" w:line="240" w:lineRule="auto"/>
      </w:pPr>
      <w:r>
        <w:separator/>
      </w:r>
    </w:p>
  </w:footnote>
  <w:footnote w:type="continuationSeparator" w:id="0">
    <w:p w14:paraId="5BB1ABE1" w14:textId="77777777" w:rsidR="00814F30" w:rsidRDefault="00814F30" w:rsidP="00436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46425"/>
    <w:multiLevelType w:val="hybridMultilevel"/>
    <w:tmpl w:val="46AE0A22"/>
    <w:lvl w:ilvl="0" w:tplc="0416000F">
      <w:start w:val="1"/>
      <w:numFmt w:val="decimal"/>
      <w:lvlText w:val="%1."/>
      <w:lvlJc w:val="left"/>
      <w:pPr>
        <w:ind w:left="780" w:hanging="360"/>
      </w:p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24"/>
    <w:rsid w:val="00002BCF"/>
    <w:rsid w:val="00044436"/>
    <w:rsid w:val="000924EB"/>
    <w:rsid w:val="00130F23"/>
    <w:rsid w:val="001730CC"/>
    <w:rsid w:val="001B4D2F"/>
    <w:rsid w:val="001E61DD"/>
    <w:rsid w:val="0020777D"/>
    <w:rsid w:val="00234430"/>
    <w:rsid w:val="002745DF"/>
    <w:rsid w:val="002B71D2"/>
    <w:rsid w:val="002D2795"/>
    <w:rsid w:val="002E467B"/>
    <w:rsid w:val="002E78C1"/>
    <w:rsid w:val="00362745"/>
    <w:rsid w:val="00373506"/>
    <w:rsid w:val="00436224"/>
    <w:rsid w:val="004F1878"/>
    <w:rsid w:val="004F3A42"/>
    <w:rsid w:val="005053E1"/>
    <w:rsid w:val="00573BB9"/>
    <w:rsid w:val="00576930"/>
    <w:rsid w:val="005C255C"/>
    <w:rsid w:val="005E03C0"/>
    <w:rsid w:val="00650733"/>
    <w:rsid w:val="00664B58"/>
    <w:rsid w:val="00673438"/>
    <w:rsid w:val="00734DCA"/>
    <w:rsid w:val="00761BDE"/>
    <w:rsid w:val="0078005F"/>
    <w:rsid w:val="00792348"/>
    <w:rsid w:val="007D0059"/>
    <w:rsid w:val="00814F30"/>
    <w:rsid w:val="0083391F"/>
    <w:rsid w:val="00844761"/>
    <w:rsid w:val="008D55F0"/>
    <w:rsid w:val="009A7466"/>
    <w:rsid w:val="009C6AD3"/>
    <w:rsid w:val="00B95283"/>
    <w:rsid w:val="00C019D8"/>
    <w:rsid w:val="00CA378A"/>
    <w:rsid w:val="00CE41D3"/>
    <w:rsid w:val="00CE5298"/>
    <w:rsid w:val="00D16F7B"/>
    <w:rsid w:val="00D22D69"/>
    <w:rsid w:val="00D22EFF"/>
    <w:rsid w:val="00DC666A"/>
    <w:rsid w:val="00E3173E"/>
    <w:rsid w:val="00E3547E"/>
    <w:rsid w:val="00E7031E"/>
    <w:rsid w:val="00F20AD7"/>
    <w:rsid w:val="00F23C2A"/>
    <w:rsid w:val="00F70A63"/>
    <w:rsid w:val="00F92A2D"/>
    <w:rsid w:val="00F94E48"/>
    <w:rsid w:val="00FB07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F955C"/>
  <w15:chartTrackingRefBased/>
  <w15:docId w15:val="{68022C65-8779-40A2-8287-AE33A7A1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224"/>
    <w:pPr>
      <w:spacing w:line="36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362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6224"/>
  </w:style>
  <w:style w:type="paragraph" w:styleId="Rodap">
    <w:name w:val="footer"/>
    <w:basedOn w:val="Normal"/>
    <w:link w:val="RodapChar"/>
    <w:uiPriority w:val="99"/>
    <w:unhideWhenUsed/>
    <w:rsid w:val="00436224"/>
    <w:pPr>
      <w:tabs>
        <w:tab w:val="center" w:pos="4252"/>
        <w:tab w:val="right" w:pos="8504"/>
      </w:tabs>
      <w:spacing w:after="0" w:line="240" w:lineRule="auto"/>
    </w:pPr>
  </w:style>
  <w:style w:type="character" w:customStyle="1" w:styleId="RodapChar">
    <w:name w:val="Rodapé Char"/>
    <w:basedOn w:val="Fontepargpadro"/>
    <w:link w:val="Rodap"/>
    <w:uiPriority w:val="99"/>
    <w:rsid w:val="00436224"/>
  </w:style>
  <w:style w:type="character" w:styleId="Hyperlink">
    <w:name w:val="Hyperlink"/>
    <w:basedOn w:val="Fontepargpadro"/>
    <w:uiPriority w:val="99"/>
    <w:unhideWhenUsed/>
    <w:rsid w:val="00436224"/>
    <w:rPr>
      <w:color w:val="0563C1" w:themeColor="hyperlink"/>
      <w:u w:val="single"/>
    </w:rPr>
  </w:style>
  <w:style w:type="character" w:styleId="Refdecomentrio">
    <w:name w:val="annotation reference"/>
    <w:basedOn w:val="Fontepargpadro"/>
    <w:semiHidden/>
    <w:unhideWhenUsed/>
    <w:rsid w:val="004F3A42"/>
    <w:rPr>
      <w:sz w:val="16"/>
      <w:szCs w:val="16"/>
    </w:rPr>
  </w:style>
  <w:style w:type="paragraph" w:styleId="Textodecomentrio">
    <w:name w:val="annotation text"/>
    <w:basedOn w:val="Normal"/>
    <w:link w:val="TextodecomentrioChar"/>
    <w:semiHidden/>
    <w:unhideWhenUsed/>
    <w:rsid w:val="004F3A42"/>
    <w:pPr>
      <w:spacing w:line="240" w:lineRule="auto"/>
    </w:pPr>
    <w:rPr>
      <w:sz w:val="20"/>
      <w:szCs w:val="20"/>
    </w:rPr>
  </w:style>
  <w:style w:type="character" w:customStyle="1" w:styleId="TextodecomentrioChar">
    <w:name w:val="Texto de comentário Char"/>
    <w:basedOn w:val="Fontepargpadro"/>
    <w:link w:val="Textodecomentrio"/>
    <w:semiHidden/>
    <w:rsid w:val="004F3A42"/>
    <w:rPr>
      <w:sz w:val="20"/>
      <w:szCs w:val="20"/>
    </w:rPr>
  </w:style>
  <w:style w:type="paragraph" w:styleId="Assuntodocomentrio">
    <w:name w:val="annotation subject"/>
    <w:basedOn w:val="Textodecomentrio"/>
    <w:next w:val="Textodecomentrio"/>
    <w:link w:val="AssuntodocomentrioChar"/>
    <w:uiPriority w:val="99"/>
    <w:semiHidden/>
    <w:unhideWhenUsed/>
    <w:rsid w:val="004F3A42"/>
    <w:rPr>
      <w:b/>
      <w:bCs/>
    </w:rPr>
  </w:style>
  <w:style w:type="character" w:customStyle="1" w:styleId="AssuntodocomentrioChar">
    <w:name w:val="Assunto do comentário Char"/>
    <w:basedOn w:val="TextodecomentrioChar"/>
    <w:link w:val="Assuntodocomentrio"/>
    <w:uiPriority w:val="99"/>
    <w:semiHidden/>
    <w:rsid w:val="004F3A42"/>
    <w:rPr>
      <w:b/>
      <w:bCs/>
      <w:sz w:val="20"/>
      <w:szCs w:val="20"/>
    </w:rPr>
  </w:style>
  <w:style w:type="paragraph" w:styleId="Textodebalo">
    <w:name w:val="Balloon Text"/>
    <w:basedOn w:val="Normal"/>
    <w:link w:val="TextodebaloChar"/>
    <w:uiPriority w:val="99"/>
    <w:semiHidden/>
    <w:unhideWhenUsed/>
    <w:rsid w:val="004F3A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F3A42"/>
    <w:rPr>
      <w:rFonts w:ascii="Segoe UI" w:hAnsi="Segoe UI" w:cs="Segoe UI"/>
      <w:sz w:val="18"/>
      <w:szCs w:val="18"/>
    </w:rPr>
  </w:style>
  <w:style w:type="paragraph" w:customStyle="1" w:styleId="Figura">
    <w:name w:val="Figura"/>
    <w:basedOn w:val="Normal"/>
    <w:link w:val="FiguraChar"/>
    <w:qFormat/>
    <w:rsid w:val="00D22D69"/>
    <w:pPr>
      <w:spacing w:after="0"/>
    </w:pPr>
    <w:rPr>
      <w:rFonts w:ascii="Times New Roman" w:eastAsia="Times New Roman" w:hAnsi="Times New Roman" w:cs="Times New Roman"/>
      <w:szCs w:val="24"/>
      <w:lang w:eastAsia="pt-BR"/>
    </w:rPr>
  </w:style>
  <w:style w:type="character" w:customStyle="1" w:styleId="FiguraChar">
    <w:name w:val="Figura Char"/>
    <w:link w:val="Figura"/>
    <w:rsid w:val="00D22D69"/>
    <w:rPr>
      <w:rFonts w:ascii="Times New Roman" w:eastAsia="Times New Roman" w:hAnsi="Times New Roman" w:cs="Times New Roman"/>
      <w:szCs w:val="24"/>
      <w:lang w:eastAsia="pt-BR"/>
    </w:rPr>
  </w:style>
  <w:style w:type="paragraph" w:styleId="PargrafodaLista">
    <w:name w:val="List Paragraph"/>
    <w:basedOn w:val="Normal"/>
    <w:uiPriority w:val="34"/>
    <w:qFormat/>
    <w:rsid w:val="00D22EFF"/>
    <w:pPr>
      <w:ind w:left="720"/>
      <w:contextualSpacing/>
    </w:pPr>
  </w:style>
  <w:style w:type="paragraph" w:styleId="NormalWeb">
    <w:name w:val="Normal (Web)"/>
    <w:basedOn w:val="Normal"/>
    <w:uiPriority w:val="99"/>
    <w:semiHidden/>
    <w:unhideWhenUsed/>
    <w:rsid w:val="00B95283"/>
    <w:pPr>
      <w:spacing w:before="100" w:beforeAutospacing="1" w:after="100" w:afterAutospacing="1" w:line="240" w:lineRule="auto"/>
      <w:jc w:val="left"/>
    </w:pPr>
    <w:rPr>
      <w:rFonts w:ascii="Times New Roman" w:eastAsiaTheme="minorEastAsia" w:hAnsi="Times New Roman" w:cs="Times New Roman"/>
      <w:sz w:val="24"/>
      <w:szCs w:val="24"/>
      <w:lang w:eastAsia="pt-BR"/>
    </w:rPr>
  </w:style>
  <w:style w:type="paragraph" w:styleId="Legenda">
    <w:name w:val="caption"/>
    <w:basedOn w:val="Normal"/>
    <w:next w:val="Normal"/>
    <w:uiPriority w:val="35"/>
    <w:semiHidden/>
    <w:unhideWhenUsed/>
    <w:qFormat/>
    <w:rsid w:val="00F92A2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7218">
      <w:bodyDiv w:val="1"/>
      <w:marLeft w:val="0"/>
      <w:marRight w:val="0"/>
      <w:marTop w:val="0"/>
      <w:marBottom w:val="0"/>
      <w:divBdr>
        <w:top w:val="none" w:sz="0" w:space="0" w:color="auto"/>
        <w:left w:val="none" w:sz="0" w:space="0" w:color="auto"/>
        <w:bottom w:val="none" w:sz="0" w:space="0" w:color="auto"/>
        <w:right w:val="none" w:sz="0" w:space="0" w:color="auto"/>
      </w:divBdr>
    </w:div>
    <w:div w:id="1881549053">
      <w:bodyDiv w:val="1"/>
      <w:marLeft w:val="0"/>
      <w:marRight w:val="0"/>
      <w:marTop w:val="0"/>
      <w:marBottom w:val="0"/>
      <w:divBdr>
        <w:top w:val="none" w:sz="0" w:space="0" w:color="auto"/>
        <w:left w:val="none" w:sz="0" w:space="0" w:color="auto"/>
        <w:bottom w:val="none" w:sz="0" w:space="0" w:color="auto"/>
        <w:right w:val="none" w:sz="0" w:space="0" w:color="auto"/>
      </w:divBdr>
    </w:div>
    <w:div w:id="20069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eorge\Desktop\Empresas%20Ademi%20P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eorge\Desktop\Empresas%20Ademi%20P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649-43CD-BFD4-DC8A218EFBF1}"/>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649-43CD-BFD4-DC8A218EFBF1}"/>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649-43CD-BFD4-DC8A218EFBF1}"/>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5649-43CD-BFD4-DC8A218EFBF1}"/>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5649-43CD-BFD4-DC8A218EFBF1}"/>
              </c:ext>
            </c:extLst>
          </c:dPt>
          <c:dLbls>
            <c:dLbl>
              <c:idx val="0"/>
              <c:layout>
                <c:manualLayout>
                  <c:x val="7.9996937882764657E-2"/>
                  <c:y val="-0.1734806065908428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649-43CD-BFD4-DC8A218EFBF1}"/>
                </c:ext>
              </c:extLst>
            </c:dLbl>
            <c:dLbl>
              <c:idx val="1"/>
              <c:layout>
                <c:manualLayout>
                  <c:x val="2.0743657042869641E-3"/>
                  <c:y val="0.14888196267133275"/>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7215288713910762"/>
                      <c:h val="0.24805555555555556"/>
                    </c:manualLayout>
                  </c15:layout>
                </c:ext>
                <c:ext xmlns:c16="http://schemas.microsoft.com/office/drawing/2014/chart" uri="{C3380CC4-5D6E-409C-BE32-E72D297353CC}">
                  <c16:uniqueId val="{00000003-5649-43CD-BFD4-DC8A218EFBF1}"/>
                </c:ext>
              </c:extLst>
            </c:dLbl>
            <c:dLbl>
              <c:idx val="2"/>
              <c:layout>
                <c:manualLayout>
                  <c:x val="-5.938713910761155E-2"/>
                  <c:y val="5.855351414406532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649-43CD-BFD4-DC8A218EFBF1}"/>
                </c:ext>
              </c:extLst>
            </c:dLbl>
            <c:dLbl>
              <c:idx val="3"/>
              <c:layout>
                <c:manualLayout>
                  <c:x val="-6.2246281714785655E-2"/>
                  <c:y val="6.066017789442986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649-43CD-BFD4-DC8A218EFBF1}"/>
                </c:ext>
              </c:extLst>
            </c:dLbl>
            <c:dLbl>
              <c:idx val="4"/>
              <c:layout>
                <c:manualLayout>
                  <c:x val="-6.5793525809273862E-2"/>
                  <c:y val="3.253135024788568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649-43CD-BFD4-DC8A218EFBF1}"/>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Planilha1!$A$8:$A$12</c:f>
              <c:strCache>
                <c:ptCount val="5"/>
                <c:pt idx="0">
                  <c:v>Construtora de Edifícios</c:v>
                </c:pt>
                <c:pt idx="1">
                  <c:v>Imobiliárias ou gerenciadoras</c:v>
                </c:pt>
                <c:pt idx="2">
                  <c:v>Residenciais</c:v>
                </c:pt>
                <c:pt idx="3">
                  <c:v>Atuação fora da RMR</c:v>
                </c:pt>
                <c:pt idx="4">
                  <c:v>Prestadoras de serviço</c:v>
                </c:pt>
              </c:strCache>
            </c:strRef>
          </c:cat>
          <c:val>
            <c:numRef>
              <c:f>Planilha1!$B$8:$B$12</c:f>
              <c:numCache>
                <c:formatCode>General</c:formatCode>
                <c:ptCount val="5"/>
                <c:pt idx="0">
                  <c:v>69</c:v>
                </c:pt>
                <c:pt idx="1">
                  <c:v>5</c:v>
                </c:pt>
                <c:pt idx="2">
                  <c:v>3</c:v>
                </c:pt>
                <c:pt idx="3">
                  <c:v>7</c:v>
                </c:pt>
                <c:pt idx="4">
                  <c:v>12</c:v>
                </c:pt>
              </c:numCache>
            </c:numRef>
          </c:val>
          <c:extLst>
            <c:ext xmlns:c16="http://schemas.microsoft.com/office/drawing/2014/chart" uri="{C3380CC4-5D6E-409C-BE32-E72D297353CC}">
              <c16:uniqueId val="{0000000A-5649-43CD-BFD4-DC8A218EFBF1}"/>
            </c:ext>
          </c:extLst>
        </c:ser>
        <c:dLbls>
          <c:dLblPos val="in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1100" b="1">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4C1-4A7B-917B-F40B37C49E5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4C1-4A7B-917B-F40B37C49E56}"/>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4C1-4A7B-917B-F40B37C49E56}"/>
              </c:ext>
            </c:extLst>
          </c:dPt>
          <c:dLbls>
            <c:dLbl>
              <c:idx val="0"/>
              <c:layout>
                <c:manualLayout>
                  <c:x val="3.0247156605423303E-3"/>
                  <c:y val="-7.04680664916885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4C1-4A7B-917B-F40B37C49E56}"/>
                </c:ext>
              </c:extLst>
            </c:dLbl>
            <c:dLbl>
              <c:idx val="1"/>
              <c:layout>
                <c:manualLayout>
                  <c:x val="-2.5478346456692925E-2"/>
                  <c:y val="0.1391108923884514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4C1-4A7B-917B-F40B37C49E56}"/>
                </c:ext>
              </c:extLst>
            </c:dLbl>
            <c:dLbl>
              <c:idx val="2"/>
              <c:layout>
                <c:manualLayout>
                  <c:x val="-0.19022944006999129"/>
                  <c:y val="3.191163604549431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4C1-4A7B-917B-F40B37C49E56}"/>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Planilha1!$A$5:$A$7</c:f>
              <c:strCache>
                <c:ptCount val="3"/>
                <c:pt idx="0">
                  <c:v>Pequeno Porte</c:v>
                </c:pt>
                <c:pt idx="1">
                  <c:v>Médio Porte</c:v>
                </c:pt>
                <c:pt idx="2">
                  <c:v>Grande Porte</c:v>
                </c:pt>
              </c:strCache>
            </c:strRef>
          </c:cat>
          <c:val>
            <c:numRef>
              <c:f>Planilha1!$B$5:$B$7</c:f>
              <c:numCache>
                <c:formatCode>General</c:formatCode>
                <c:ptCount val="3"/>
                <c:pt idx="0">
                  <c:v>47</c:v>
                </c:pt>
                <c:pt idx="1">
                  <c:v>21</c:v>
                </c:pt>
                <c:pt idx="2">
                  <c:v>1</c:v>
                </c:pt>
              </c:numCache>
            </c:numRef>
          </c:val>
          <c:extLst>
            <c:ext xmlns:c16="http://schemas.microsoft.com/office/drawing/2014/chart" uri="{C3380CC4-5D6E-409C-BE32-E72D297353CC}">
              <c16:uniqueId val="{00000006-94C1-4A7B-917B-F40B37C49E56}"/>
            </c:ext>
          </c:extLst>
        </c:ser>
        <c:dLbls>
          <c:dLblPos val="in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1100" b="1">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D8BF0-37DA-4031-A0C8-0AF96CC0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19</Pages>
  <Words>14994</Words>
  <Characters>80970</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 Mota Passos Neto</dc:creator>
  <cp:keywords/>
  <dc:description/>
  <cp:lastModifiedBy>George da Mota Passos Neto</cp:lastModifiedBy>
  <cp:revision>39</cp:revision>
  <dcterms:created xsi:type="dcterms:W3CDTF">2019-10-07T23:18:00Z</dcterms:created>
  <dcterms:modified xsi:type="dcterms:W3CDTF">2019-11-11T01:56:00Z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http://www.zotero.org/styles/associacao-brasileira-de-normas-tecnicas</vt:lpwstr>
  </property>
  <property fmtid="{D5CDD505-2E9C-101B-9397-08002B2CF9AE}" pid="5" name="Mendeley Recent Style Name 1_1">
    <vt:lpwstr>Associação Brasileira de Normas Técnicas (Portuguese - Brazil)</vt:lpwstr>
  </property>
  <property fmtid="{D5CDD505-2E9C-101B-9397-08002B2CF9AE}" pid="6" name="Mendeley Recent Style Id 2_1">
    <vt:lpwstr>http://www.zotero.org/styles/associacao-brasileira-de-normas-tecnicas-note</vt:lpwstr>
  </property>
  <property fmtid="{D5CDD505-2E9C-101B-9397-08002B2CF9AE}" pid="7" name="Mendeley Recent Style Name 2_1">
    <vt:lpwstr>Associação Brasileira de Normas Técnicas (note, Portuguese - Brazil)</vt:lpwstr>
  </property>
  <property fmtid="{D5CDD505-2E9C-101B-9397-08002B2CF9AE}" pid="8" name="Mendeley Recent Style Id 3_1">
    <vt:lpwstr>http://www.zotero.org/styles/building-and-environment</vt:lpwstr>
  </property>
  <property fmtid="{D5CDD505-2E9C-101B-9397-08002B2CF9AE}" pid="9" name="Mendeley Recent Style Name 3_1">
    <vt:lpwstr>Building and Environment</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http://www.zotero.org/styles/associacao-brasileira-de-normas-tecnicas-instituto-meira-mattos</vt:lpwstr>
  </property>
  <property fmtid="{D5CDD505-2E9C-101B-9397-08002B2CF9AE}" pid="13" name="Mendeley Recent Style Name 5_1">
    <vt:lpwstr>Escola de Comando e Estado-Maior do Exército - Instituto Meira Mattos - ABNT (Portuguese - Brazil)</vt:lpwstr>
  </property>
  <property fmtid="{D5CDD505-2E9C-101B-9397-08002B2CF9AE}" pid="14" name="Mendeley Recent Style Id 6_1">
    <vt:lpwstr>http://www.zotero.org/styles/hiob-ludolf-centre-for-ethiopian-studies-with-url-doi</vt:lpwstr>
  </property>
  <property fmtid="{D5CDD505-2E9C-101B-9397-08002B2CF9AE}" pid="15" name="Mendeley Recent Style Name 6_1">
    <vt:lpwstr>Hiob Ludolf Centre for Ethiopian Studies (with URL/DOI)</vt:lpwstr>
  </property>
  <property fmtid="{D5CDD505-2E9C-101B-9397-08002B2CF9AE}" pid="16" name="Mendeley Recent Style Id 7_1">
    <vt:lpwstr>http://www.zotero.org/styles/associacao-brasileira-de-normas-tecnicas-ipea</vt:lpwstr>
  </property>
  <property fmtid="{D5CDD505-2E9C-101B-9397-08002B2CF9AE}" pid="17" name="Mendeley Recent Style Name 7_1">
    <vt:lpwstr>Instituto de Pesquisa Econômica Aplicada - ABNT (Portuguese - Brazil)</vt:lpwstr>
  </property>
  <property fmtid="{D5CDD505-2E9C-101B-9397-08002B2CF9AE}" pid="18" name="Mendeley Recent Style Id 8_1">
    <vt:lpwstr>http://www.zotero.org/styles/associacao-brasileira-de-normas-tecnicas-ufmg-face-initials</vt:lpwstr>
  </property>
  <property fmtid="{D5CDD505-2E9C-101B-9397-08002B2CF9AE}" pid="19" name="Mendeley Recent Style Name 8_1">
    <vt:lpwstr>Universidade Federal de Minas Gerais - Faculdade de Ciências Econômicas - ABNT (autoria abreviada) (Portuguese - Brazil)</vt:lpwstr>
  </property>
  <property fmtid="{D5CDD505-2E9C-101B-9397-08002B2CF9AE}" pid="20" name="Mendeley Recent Style Id 9_1">
    <vt:lpwstr>http://www.zotero.org/styles/associacao-brasileira-de-normas-tecnicas-ufrgs</vt:lpwstr>
  </property>
  <property fmtid="{D5CDD505-2E9C-101B-9397-08002B2CF9AE}" pid="21" name="Mendeley Recent Style Name 9_1">
    <vt:lpwstr>Universidade Federal do Rio Grande do Sul - SBUFRGS - ABNT (autoria completa) (Portuguese - Brazil)</vt:lpwstr>
  </property>
  <property fmtid="{D5CDD505-2E9C-101B-9397-08002B2CF9AE}" pid="22" name="Mendeley Document_1">
    <vt:lpwstr>True</vt:lpwstr>
  </property>
  <property fmtid="{D5CDD505-2E9C-101B-9397-08002B2CF9AE}" pid="23" name="Mendeley Unique User Id_1">
    <vt:lpwstr>8fd01909-4d2e-391d-ba53-14a31e273a74</vt:lpwstr>
  </property>
  <property fmtid="{D5CDD505-2E9C-101B-9397-08002B2CF9AE}" pid="24" name="Mendeley Citation Style_1">
    <vt:lpwstr>http://www.zotero.org/styles/associacao-brasileira-de-normas-tecnicas</vt:lpwstr>
  </property>
</Properties>
</file>